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FB7EB">
      <w:pPr>
        <w:tabs>
          <w:tab w:val="left" w:pos="7050"/>
        </w:tabs>
        <w:spacing w:line="500" w:lineRule="exact"/>
        <w:jc w:val="center"/>
        <w:rPr>
          <w:rFonts w:hint="eastAsia" w:ascii="宋体" w:hAnsi="宋体" w:cs="宋体"/>
          <w:b/>
          <w:spacing w:val="20"/>
          <w:sz w:val="52"/>
          <w:szCs w:val="52"/>
          <w:highlight w:val="none"/>
        </w:rPr>
      </w:pPr>
      <w:r>
        <w:rPr>
          <w:rFonts w:hint="eastAsia" w:ascii="宋体" w:hAnsi="宋体" w:cs="宋体"/>
          <w:b/>
          <w:sz w:val="52"/>
          <w:szCs w:val="52"/>
          <w:highlight w:val="none"/>
        </w:rPr>
        <w:t>如东洋口港经济开发区建筑新材料产业园标准厂房一期南侧临时用房拆除处置项目</w:t>
      </w:r>
    </w:p>
    <w:p w14:paraId="3B1C2E44">
      <w:pPr>
        <w:tabs>
          <w:tab w:val="left" w:pos="7050"/>
        </w:tabs>
        <w:spacing w:line="500" w:lineRule="exact"/>
        <w:ind w:firstLine="3091" w:firstLineChars="550"/>
        <w:rPr>
          <w:rFonts w:hint="eastAsia" w:ascii="新宋体" w:hAnsi="新宋体" w:eastAsia="新宋体"/>
          <w:b/>
          <w:spacing w:val="20"/>
          <w:sz w:val="52"/>
          <w:szCs w:val="52"/>
          <w:highlight w:val="none"/>
        </w:rPr>
      </w:pPr>
    </w:p>
    <w:p w14:paraId="53CE02CB">
      <w:pPr>
        <w:spacing w:line="1120" w:lineRule="exact"/>
        <w:jc w:val="center"/>
        <w:rPr>
          <w:rFonts w:hint="eastAsia" w:ascii="宋体" w:hAnsi="宋体" w:cs="宋体"/>
          <w:b/>
          <w:sz w:val="52"/>
          <w:highlight w:val="none"/>
        </w:rPr>
      </w:pPr>
      <w:r>
        <w:rPr>
          <w:rFonts w:hint="eastAsia" w:ascii="宋体" w:hAnsi="宋体" w:cs="宋体"/>
          <w:b/>
          <w:sz w:val="52"/>
          <w:highlight w:val="none"/>
        </w:rPr>
        <w:t>招</w:t>
      </w:r>
    </w:p>
    <w:p w14:paraId="724E0DE2">
      <w:pPr>
        <w:spacing w:line="1120" w:lineRule="exact"/>
        <w:jc w:val="center"/>
        <w:rPr>
          <w:rFonts w:hint="eastAsia" w:ascii="宋体" w:hAnsi="宋体" w:cs="宋体"/>
          <w:b/>
          <w:sz w:val="52"/>
          <w:highlight w:val="none"/>
        </w:rPr>
      </w:pPr>
    </w:p>
    <w:p w14:paraId="4B59C129">
      <w:pPr>
        <w:spacing w:line="1120" w:lineRule="exact"/>
        <w:jc w:val="center"/>
        <w:rPr>
          <w:rFonts w:hint="eastAsia" w:ascii="宋体" w:hAnsi="宋体" w:cs="宋体"/>
          <w:b/>
          <w:sz w:val="52"/>
          <w:highlight w:val="none"/>
        </w:rPr>
      </w:pPr>
      <w:r>
        <w:rPr>
          <w:rFonts w:hint="eastAsia" w:ascii="宋体" w:hAnsi="宋体" w:cs="宋体"/>
          <w:b/>
          <w:sz w:val="52"/>
          <w:highlight w:val="none"/>
        </w:rPr>
        <w:t>标</w:t>
      </w:r>
    </w:p>
    <w:p w14:paraId="0C23C19A">
      <w:pPr>
        <w:spacing w:line="1120" w:lineRule="exact"/>
        <w:jc w:val="center"/>
        <w:rPr>
          <w:rFonts w:hint="eastAsia" w:ascii="宋体" w:hAnsi="宋体" w:cs="宋体"/>
          <w:b/>
          <w:sz w:val="52"/>
          <w:highlight w:val="none"/>
        </w:rPr>
      </w:pPr>
    </w:p>
    <w:p w14:paraId="6713D6C2">
      <w:pPr>
        <w:spacing w:line="1120" w:lineRule="exact"/>
        <w:jc w:val="center"/>
        <w:rPr>
          <w:rFonts w:hint="eastAsia" w:ascii="宋体" w:hAnsi="宋体" w:cs="宋体"/>
          <w:b/>
          <w:sz w:val="52"/>
          <w:highlight w:val="none"/>
        </w:rPr>
      </w:pPr>
      <w:r>
        <w:rPr>
          <w:rFonts w:hint="eastAsia" w:ascii="宋体" w:hAnsi="宋体" w:cs="宋体"/>
          <w:b/>
          <w:sz w:val="52"/>
          <w:highlight w:val="none"/>
        </w:rPr>
        <w:t>文</w:t>
      </w:r>
    </w:p>
    <w:p w14:paraId="4CCE77EE">
      <w:pPr>
        <w:spacing w:line="1120" w:lineRule="exact"/>
        <w:jc w:val="center"/>
        <w:rPr>
          <w:rFonts w:hint="eastAsia" w:ascii="宋体" w:hAnsi="宋体" w:cs="宋体"/>
          <w:b/>
          <w:sz w:val="52"/>
          <w:highlight w:val="none"/>
        </w:rPr>
      </w:pPr>
    </w:p>
    <w:p w14:paraId="53E94280">
      <w:pPr>
        <w:spacing w:line="1120" w:lineRule="exact"/>
        <w:jc w:val="center"/>
        <w:rPr>
          <w:rFonts w:hint="eastAsia" w:ascii="新宋体" w:hAnsi="新宋体" w:eastAsia="新宋体"/>
          <w:b/>
          <w:bCs/>
          <w:sz w:val="32"/>
          <w:szCs w:val="32"/>
          <w:highlight w:val="none"/>
        </w:rPr>
      </w:pPr>
      <w:r>
        <w:rPr>
          <w:rFonts w:hint="eastAsia" w:ascii="宋体" w:hAnsi="宋体" w:cs="宋体"/>
          <w:b/>
          <w:sz w:val="52"/>
          <w:highlight w:val="none"/>
        </w:rPr>
        <w:t>件</w:t>
      </w:r>
    </w:p>
    <w:p w14:paraId="491CD168">
      <w:pPr>
        <w:spacing w:line="560" w:lineRule="exact"/>
        <w:jc w:val="center"/>
        <w:rPr>
          <w:rFonts w:hint="eastAsia" w:ascii="仿宋_GB2312" w:eastAsia="仿宋_GB2312"/>
          <w:b/>
          <w:sz w:val="30"/>
          <w:szCs w:val="30"/>
          <w:highlight w:val="none"/>
          <w:lang w:val="en-US" w:eastAsia="zh-CN"/>
        </w:rPr>
      </w:pPr>
      <w:r>
        <w:rPr>
          <w:rFonts w:hint="eastAsia" w:ascii="仿宋_GB2312" w:eastAsia="仿宋_GB2312"/>
          <w:b/>
          <w:sz w:val="30"/>
          <w:szCs w:val="30"/>
          <w:highlight w:val="none"/>
          <w:lang w:val="en-US" w:eastAsia="zh-CN"/>
        </w:rPr>
        <w:t xml:space="preserve"> (重新招标）</w:t>
      </w:r>
    </w:p>
    <w:p w14:paraId="1186D89A">
      <w:pPr>
        <w:spacing w:line="560" w:lineRule="exact"/>
        <w:rPr>
          <w:rFonts w:ascii="仿宋_GB2312" w:eastAsia="仿宋_GB2312"/>
          <w:b/>
          <w:sz w:val="30"/>
          <w:szCs w:val="30"/>
          <w:highlight w:val="none"/>
          <w:u w:val="single"/>
        </w:rPr>
      </w:pPr>
      <w:r>
        <w:rPr>
          <w:rFonts w:hint="eastAsia" w:ascii="仿宋_GB2312" w:eastAsia="仿宋_GB2312"/>
          <w:b/>
          <w:sz w:val="30"/>
          <w:szCs w:val="30"/>
          <w:highlight w:val="none"/>
        </w:rPr>
        <w:t>项 目 编 号：</w:t>
      </w:r>
      <w:r>
        <w:rPr>
          <w:rFonts w:hint="eastAsia" w:ascii="仿宋_GB2312" w:eastAsia="仿宋_GB2312"/>
          <w:b/>
          <w:sz w:val="30"/>
          <w:szCs w:val="30"/>
          <w:highlight w:val="none"/>
          <w:u w:val="single"/>
        </w:rPr>
        <w:t>YKG2024CAC161</w:t>
      </w:r>
    </w:p>
    <w:p w14:paraId="38067CF0">
      <w:pPr>
        <w:spacing w:line="560" w:lineRule="exact"/>
        <w:rPr>
          <w:rFonts w:hint="eastAsia" w:ascii="仿宋_GB2312" w:hAnsi="宋体" w:eastAsia="仿宋_GB2312"/>
          <w:b/>
          <w:sz w:val="30"/>
          <w:szCs w:val="30"/>
          <w:highlight w:val="none"/>
          <w:u w:val="single"/>
        </w:rPr>
      </w:pPr>
      <w:r>
        <w:rPr>
          <w:rFonts w:hint="eastAsia" w:ascii="仿宋_GB2312" w:eastAsia="仿宋_GB2312"/>
          <w:b/>
          <w:sz w:val="30"/>
          <w:szCs w:val="30"/>
          <w:highlight w:val="none"/>
        </w:rPr>
        <w:t>项 目 名 称：</w:t>
      </w:r>
      <w:bookmarkStart w:id="0" w:name="_Hlk73619917"/>
      <w:r>
        <w:rPr>
          <w:rFonts w:hint="eastAsia" w:ascii="仿宋_GB2312" w:eastAsia="仿宋_GB2312"/>
          <w:b/>
          <w:sz w:val="30"/>
          <w:szCs w:val="30"/>
          <w:highlight w:val="none"/>
          <w:u w:val="single"/>
        </w:rPr>
        <w:t>如东洋口港经济开发区建筑新材料产业园标准厂房一期南侧临时用房拆除处置项目</w:t>
      </w:r>
    </w:p>
    <w:bookmarkEnd w:id="0"/>
    <w:p w14:paraId="65FCE33C">
      <w:pPr>
        <w:spacing w:line="560" w:lineRule="exact"/>
        <w:rPr>
          <w:rFonts w:hint="eastAsia" w:ascii="仿宋_GB2312" w:hAnsi="宋体" w:eastAsia="仿宋_GB2312"/>
          <w:b/>
          <w:sz w:val="30"/>
          <w:szCs w:val="30"/>
          <w:highlight w:val="none"/>
          <w:u w:val="single"/>
        </w:rPr>
      </w:pPr>
      <w:r>
        <w:rPr>
          <w:rFonts w:hint="eastAsia" w:ascii="仿宋_GB2312" w:eastAsia="仿宋_GB2312"/>
          <w:b/>
          <w:sz w:val="30"/>
          <w:szCs w:val="30"/>
          <w:highlight w:val="none"/>
        </w:rPr>
        <w:t>招 标 单 位：</w:t>
      </w:r>
      <w:r>
        <w:rPr>
          <w:rFonts w:hint="eastAsia" w:ascii="仿宋_GB2312" w:eastAsia="仿宋_GB2312"/>
          <w:b/>
          <w:sz w:val="30"/>
          <w:szCs w:val="30"/>
          <w:highlight w:val="none"/>
          <w:u w:val="single"/>
        </w:rPr>
        <w:t>江苏洋口港投资开发有限公司</w:t>
      </w:r>
    </w:p>
    <w:p w14:paraId="09B13569">
      <w:pPr>
        <w:tabs>
          <w:tab w:val="left" w:pos="7050"/>
        </w:tabs>
        <w:spacing w:line="560" w:lineRule="exact"/>
        <w:rPr>
          <w:rFonts w:ascii="仿宋_GB2312" w:eastAsia="仿宋_GB2312"/>
          <w:b/>
          <w:sz w:val="30"/>
          <w:szCs w:val="30"/>
          <w:highlight w:val="none"/>
        </w:rPr>
      </w:pPr>
      <w:r>
        <w:rPr>
          <w:rFonts w:hint="eastAsia" w:ascii="仿宋_GB2312" w:eastAsia="仿宋_GB2312"/>
          <w:b/>
          <w:sz w:val="30"/>
          <w:szCs w:val="30"/>
          <w:highlight w:val="none"/>
        </w:rPr>
        <w:t>招 标 方 式:</w:t>
      </w:r>
      <w:r>
        <w:rPr>
          <w:rFonts w:ascii="仿宋_GB2312" w:eastAsia="仿宋_GB2312"/>
          <w:b/>
          <w:sz w:val="30"/>
          <w:szCs w:val="30"/>
          <w:highlight w:val="none"/>
        </w:rPr>
        <w:t xml:space="preserve"> </w:t>
      </w:r>
      <w:r>
        <w:rPr>
          <w:rFonts w:hint="eastAsia" w:ascii="仿宋_GB2312" w:eastAsia="仿宋_GB2312"/>
          <w:b/>
          <w:sz w:val="30"/>
          <w:szCs w:val="30"/>
          <w:highlight w:val="none"/>
          <w:u w:val="single"/>
        </w:rPr>
        <w:t>公开招标</w:t>
      </w:r>
    </w:p>
    <w:p w14:paraId="3DF2519F">
      <w:pPr>
        <w:tabs>
          <w:tab w:val="left" w:pos="7050"/>
        </w:tabs>
        <w:spacing w:line="560" w:lineRule="exact"/>
        <w:jc w:val="center"/>
        <w:rPr>
          <w:rFonts w:ascii="仿宋_GB2312" w:eastAsia="仿宋_GB2312"/>
          <w:b/>
          <w:sz w:val="30"/>
          <w:szCs w:val="30"/>
          <w:highlight w:val="none"/>
        </w:rPr>
      </w:pPr>
      <w:r>
        <w:rPr>
          <w:rFonts w:hint="eastAsia" w:ascii="仿宋_GB2312" w:eastAsia="仿宋_GB2312"/>
          <w:b/>
          <w:sz w:val="30"/>
          <w:szCs w:val="30"/>
          <w:highlight w:val="none"/>
        </w:rPr>
        <w:t>二0二四年</w:t>
      </w:r>
      <w:r>
        <w:rPr>
          <w:rFonts w:hint="eastAsia" w:ascii="仿宋_GB2312" w:eastAsia="仿宋_GB2312"/>
          <w:b/>
          <w:sz w:val="30"/>
          <w:szCs w:val="30"/>
          <w:highlight w:val="none"/>
          <w:lang w:val="en-US" w:eastAsia="zh-CN"/>
        </w:rPr>
        <w:t>十</w:t>
      </w:r>
      <w:r>
        <w:rPr>
          <w:rFonts w:hint="eastAsia" w:ascii="仿宋_GB2312" w:eastAsia="仿宋_GB2312"/>
          <w:b/>
          <w:sz w:val="30"/>
          <w:szCs w:val="30"/>
          <w:highlight w:val="none"/>
        </w:rPr>
        <w:t>月</w:t>
      </w:r>
    </w:p>
    <w:p w14:paraId="6E8F7CF1">
      <w:pPr>
        <w:spacing w:after="120" w:afterLines="50" w:line="360" w:lineRule="auto"/>
        <w:jc w:val="center"/>
        <w:rPr>
          <w:rFonts w:hint="eastAsia" w:ascii="宋体" w:hAnsi="宋体"/>
          <w:sz w:val="36"/>
          <w:szCs w:val="24"/>
          <w:highlight w:val="none"/>
        </w:rPr>
      </w:pPr>
      <w:r>
        <w:rPr>
          <w:rFonts w:hint="eastAsia" w:ascii="宋体" w:hAnsi="宋体"/>
          <w:sz w:val="36"/>
          <w:szCs w:val="24"/>
          <w:highlight w:val="none"/>
        </w:rPr>
        <w:t>招标文件备案表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4"/>
      </w:tblGrid>
      <w:tr w14:paraId="6C5B0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3" w:hRule="atLeast"/>
          <w:jc w:val="center"/>
        </w:trPr>
        <w:tc>
          <w:tcPr>
            <w:tcW w:w="8564" w:type="dxa"/>
            <w:tcBorders>
              <w:top w:val="single" w:color="auto" w:sz="4" w:space="0"/>
              <w:left w:val="single" w:color="auto" w:sz="4" w:space="0"/>
              <w:bottom w:val="single" w:color="auto" w:sz="4" w:space="0"/>
              <w:right w:val="single" w:color="auto" w:sz="4" w:space="0"/>
            </w:tcBorders>
          </w:tcPr>
          <w:p w14:paraId="37872778">
            <w:pPr>
              <w:spacing w:line="360" w:lineRule="auto"/>
              <w:rPr>
                <w:rFonts w:hint="eastAsia" w:ascii="宋体" w:hAnsi="宋体"/>
                <w:sz w:val="25"/>
                <w:szCs w:val="24"/>
                <w:highlight w:val="none"/>
              </w:rPr>
            </w:pPr>
          </w:p>
          <w:p w14:paraId="310EF8E0">
            <w:pPr>
              <w:spacing w:line="360" w:lineRule="auto"/>
              <w:rPr>
                <w:rFonts w:hint="eastAsia" w:ascii="宋体" w:hAnsi="宋体"/>
                <w:sz w:val="25"/>
                <w:szCs w:val="24"/>
                <w:highlight w:val="none"/>
              </w:rPr>
            </w:pPr>
          </w:p>
          <w:p w14:paraId="42FB290E">
            <w:pPr>
              <w:spacing w:line="360" w:lineRule="auto"/>
              <w:rPr>
                <w:rFonts w:hint="eastAsia" w:ascii="宋体" w:hAnsi="宋体"/>
                <w:sz w:val="25"/>
                <w:szCs w:val="24"/>
                <w:highlight w:val="none"/>
              </w:rPr>
            </w:pPr>
          </w:p>
          <w:p w14:paraId="58B9F1D3">
            <w:pPr>
              <w:spacing w:line="360" w:lineRule="auto"/>
              <w:ind w:firstLine="5000" w:firstLineChars="2000"/>
              <w:rPr>
                <w:rFonts w:hint="eastAsia" w:ascii="宋体" w:hAnsi="宋体"/>
                <w:sz w:val="25"/>
                <w:szCs w:val="24"/>
                <w:highlight w:val="none"/>
              </w:rPr>
            </w:pPr>
          </w:p>
          <w:p w14:paraId="1722967C">
            <w:pPr>
              <w:adjustRightInd w:val="0"/>
              <w:spacing w:after="60" w:line="360" w:lineRule="atLeast"/>
              <w:ind w:left="63" w:leftChars="30" w:right="63" w:rightChars="30"/>
              <w:jc w:val="center"/>
              <w:textAlignment w:val="baseline"/>
              <w:rPr>
                <w:rFonts w:hint="eastAsia" w:ascii="宋体" w:hAnsi="宋体"/>
                <w:sz w:val="25"/>
                <w:szCs w:val="22"/>
                <w:highlight w:val="none"/>
              </w:rPr>
            </w:pPr>
          </w:p>
          <w:p w14:paraId="0E36162E">
            <w:pPr>
              <w:autoSpaceDE w:val="0"/>
              <w:autoSpaceDN w:val="0"/>
              <w:adjustRightInd w:val="0"/>
              <w:jc w:val="left"/>
              <w:rPr>
                <w:rFonts w:hint="eastAsia" w:ascii="宋体" w:hAnsi="宋体" w:cs="Calibri"/>
                <w:color w:val="000000"/>
                <w:kern w:val="0"/>
                <w:sz w:val="25"/>
                <w:szCs w:val="24"/>
                <w:highlight w:val="none"/>
              </w:rPr>
            </w:pPr>
          </w:p>
          <w:p w14:paraId="493625FC">
            <w:pPr>
              <w:autoSpaceDE w:val="0"/>
              <w:autoSpaceDN w:val="0"/>
              <w:adjustRightInd w:val="0"/>
              <w:jc w:val="left"/>
              <w:rPr>
                <w:rFonts w:hint="eastAsia" w:ascii="宋体" w:hAnsi="宋体" w:cs="Calibri"/>
                <w:color w:val="000000"/>
                <w:kern w:val="0"/>
                <w:sz w:val="25"/>
                <w:szCs w:val="24"/>
                <w:highlight w:val="none"/>
              </w:rPr>
            </w:pPr>
          </w:p>
          <w:p w14:paraId="6765BD60">
            <w:pPr>
              <w:autoSpaceDE w:val="0"/>
              <w:autoSpaceDN w:val="0"/>
              <w:adjustRightInd w:val="0"/>
              <w:jc w:val="left"/>
              <w:rPr>
                <w:rFonts w:hint="eastAsia" w:ascii="宋体" w:hAnsi="宋体" w:cs="Calibri"/>
                <w:color w:val="000000"/>
                <w:kern w:val="0"/>
                <w:sz w:val="25"/>
                <w:szCs w:val="24"/>
                <w:highlight w:val="none"/>
              </w:rPr>
            </w:pPr>
          </w:p>
          <w:p w14:paraId="4B7FAC61">
            <w:pPr>
              <w:autoSpaceDE w:val="0"/>
              <w:autoSpaceDN w:val="0"/>
              <w:adjustRightInd w:val="0"/>
              <w:jc w:val="left"/>
              <w:rPr>
                <w:rFonts w:hint="eastAsia" w:ascii="宋体" w:hAnsi="宋体" w:cs="Calibri"/>
                <w:color w:val="000000"/>
                <w:kern w:val="0"/>
                <w:sz w:val="25"/>
                <w:szCs w:val="24"/>
                <w:highlight w:val="none"/>
              </w:rPr>
            </w:pPr>
          </w:p>
          <w:p w14:paraId="1FBD360E">
            <w:pPr>
              <w:autoSpaceDE w:val="0"/>
              <w:autoSpaceDN w:val="0"/>
              <w:adjustRightInd w:val="0"/>
              <w:jc w:val="left"/>
              <w:rPr>
                <w:rFonts w:hint="eastAsia" w:ascii="宋体" w:hAnsi="宋体" w:cs="Calibri"/>
                <w:color w:val="000000"/>
                <w:kern w:val="0"/>
                <w:sz w:val="25"/>
                <w:szCs w:val="24"/>
                <w:highlight w:val="none"/>
              </w:rPr>
            </w:pPr>
          </w:p>
          <w:p w14:paraId="456A08FF">
            <w:pPr>
              <w:autoSpaceDE w:val="0"/>
              <w:autoSpaceDN w:val="0"/>
              <w:adjustRightInd w:val="0"/>
              <w:jc w:val="left"/>
              <w:rPr>
                <w:rFonts w:hint="eastAsia" w:ascii="宋体" w:hAnsi="宋体" w:cs="Calibri"/>
                <w:color w:val="000000"/>
                <w:kern w:val="0"/>
                <w:sz w:val="25"/>
                <w:szCs w:val="24"/>
                <w:highlight w:val="none"/>
              </w:rPr>
            </w:pPr>
          </w:p>
          <w:p w14:paraId="5282D7FA">
            <w:pPr>
              <w:autoSpaceDE w:val="0"/>
              <w:autoSpaceDN w:val="0"/>
              <w:adjustRightInd w:val="0"/>
              <w:jc w:val="left"/>
              <w:rPr>
                <w:rFonts w:hint="eastAsia" w:ascii="宋体" w:hAnsi="宋体" w:cs="Calibri"/>
                <w:color w:val="000000"/>
                <w:kern w:val="0"/>
                <w:sz w:val="25"/>
                <w:szCs w:val="24"/>
                <w:highlight w:val="none"/>
              </w:rPr>
            </w:pPr>
          </w:p>
          <w:p w14:paraId="068FEA30">
            <w:pPr>
              <w:autoSpaceDE w:val="0"/>
              <w:autoSpaceDN w:val="0"/>
              <w:adjustRightInd w:val="0"/>
              <w:jc w:val="left"/>
              <w:rPr>
                <w:rFonts w:hint="eastAsia" w:ascii="宋体" w:hAnsi="宋体" w:cs="Calibri"/>
                <w:color w:val="000000"/>
                <w:kern w:val="0"/>
                <w:sz w:val="25"/>
                <w:szCs w:val="24"/>
                <w:highlight w:val="none"/>
              </w:rPr>
            </w:pPr>
          </w:p>
          <w:p w14:paraId="665D962D">
            <w:pPr>
              <w:autoSpaceDE w:val="0"/>
              <w:autoSpaceDN w:val="0"/>
              <w:adjustRightInd w:val="0"/>
              <w:jc w:val="left"/>
              <w:rPr>
                <w:rFonts w:hint="eastAsia" w:ascii="宋体" w:hAnsi="宋体" w:cs="Calibri"/>
                <w:color w:val="000000"/>
                <w:kern w:val="0"/>
                <w:sz w:val="25"/>
                <w:szCs w:val="24"/>
                <w:highlight w:val="none"/>
              </w:rPr>
            </w:pPr>
          </w:p>
          <w:p w14:paraId="50249175">
            <w:pPr>
              <w:autoSpaceDE w:val="0"/>
              <w:autoSpaceDN w:val="0"/>
              <w:adjustRightInd w:val="0"/>
              <w:jc w:val="left"/>
              <w:rPr>
                <w:rFonts w:hint="eastAsia" w:ascii="宋体" w:hAnsi="宋体" w:cs="Calibri"/>
                <w:color w:val="000000"/>
                <w:kern w:val="0"/>
                <w:sz w:val="25"/>
                <w:szCs w:val="24"/>
                <w:highlight w:val="none"/>
              </w:rPr>
            </w:pPr>
          </w:p>
          <w:p w14:paraId="5D9879EA">
            <w:pPr>
              <w:spacing w:line="360" w:lineRule="auto"/>
              <w:rPr>
                <w:rFonts w:hint="eastAsia" w:ascii="宋体" w:hAnsi="宋体"/>
                <w:sz w:val="25"/>
                <w:szCs w:val="24"/>
                <w:highlight w:val="none"/>
              </w:rPr>
            </w:pPr>
          </w:p>
          <w:p w14:paraId="16741F4B">
            <w:pPr>
              <w:spacing w:line="360" w:lineRule="auto"/>
              <w:jc w:val="center"/>
              <w:rPr>
                <w:rFonts w:hint="eastAsia" w:ascii="宋体" w:hAnsi="宋体"/>
                <w:sz w:val="25"/>
                <w:szCs w:val="24"/>
                <w:highlight w:val="none"/>
              </w:rPr>
            </w:pPr>
          </w:p>
          <w:p w14:paraId="25DEC853">
            <w:pPr>
              <w:spacing w:line="360" w:lineRule="auto"/>
              <w:jc w:val="center"/>
              <w:rPr>
                <w:rFonts w:hint="eastAsia" w:ascii="宋体" w:hAnsi="宋体"/>
                <w:sz w:val="25"/>
                <w:szCs w:val="24"/>
                <w:highlight w:val="none"/>
              </w:rPr>
            </w:pPr>
          </w:p>
          <w:p w14:paraId="5D4E0DBF">
            <w:pPr>
              <w:spacing w:line="360" w:lineRule="auto"/>
              <w:jc w:val="center"/>
              <w:rPr>
                <w:rFonts w:hint="eastAsia" w:ascii="宋体" w:hAnsi="宋体"/>
                <w:sz w:val="25"/>
                <w:szCs w:val="24"/>
                <w:highlight w:val="none"/>
              </w:rPr>
            </w:pPr>
          </w:p>
          <w:p w14:paraId="40AFF6A1">
            <w:pPr>
              <w:spacing w:line="360" w:lineRule="auto"/>
              <w:jc w:val="center"/>
              <w:rPr>
                <w:rFonts w:hint="eastAsia" w:ascii="宋体" w:hAnsi="宋体"/>
                <w:sz w:val="25"/>
                <w:szCs w:val="24"/>
                <w:highlight w:val="none"/>
              </w:rPr>
            </w:pPr>
          </w:p>
          <w:p w14:paraId="1790F035">
            <w:pPr>
              <w:spacing w:line="360" w:lineRule="auto"/>
              <w:jc w:val="center"/>
              <w:rPr>
                <w:rFonts w:hint="eastAsia" w:ascii="宋体" w:hAnsi="宋体"/>
                <w:sz w:val="25"/>
                <w:szCs w:val="24"/>
                <w:highlight w:val="none"/>
              </w:rPr>
            </w:pPr>
          </w:p>
          <w:p w14:paraId="277EB8C3">
            <w:pPr>
              <w:spacing w:line="360" w:lineRule="auto"/>
              <w:jc w:val="center"/>
              <w:rPr>
                <w:rFonts w:hint="eastAsia" w:ascii="宋体" w:hAnsi="宋体"/>
                <w:sz w:val="25"/>
                <w:szCs w:val="24"/>
                <w:highlight w:val="none"/>
              </w:rPr>
            </w:pPr>
          </w:p>
          <w:p w14:paraId="3DA9D6CD">
            <w:pPr>
              <w:spacing w:line="360" w:lineRule="auto"/>
              <w:jc w:val="center"/>
              <w:rPr>
                <w:rFonts w:hint="eastAsia" w:ascii="宋体" w:hAnsi="宋体"/>
                <w:sz w:val="25"/>
                <w:szCs w:val="24"/>
                <w:highlight w:val="none"/>
              </w:rPr>
            </w:pPr>
            <w:r>
              <w:rPr>
                <w:rFonts w:hint="eastAsia" w:ascii="宋体" w:hAnsi="宋体"/>
                <w:sz w:val="25"/>
                <w:szCs w:val="24"/>
                <w:highlight w:val="none"/>
              </w:rPr>
              <w:t>洋口港开发区公共资源交易中心</w:t>
            </w:r>
            <w:r>
              <w:rPr>
                <w:rFonts w:ascii="宋体" w:hAnsi="宋体"/>
                <w:sz w:val="25"/>
                <w:szCs w:val="24"/>
                <w:highlight w:val="none"/>
              </w:rPr>
              <w:t>(备案)</w:t>
            </w:r>
          </w:p>
          <w:p w14:paraId="6B0681DE">
            <w:pPr>
              <w:spacing w:line="360" w:lineRule="auto"/>
              <w:jc w:val="center"/>
              <w:rPr>
                <w:rFonts w:hint="eastAsia" w:ascii="宋体" w:hAnsi="宋体"/>
                <w:sz w:val="25"/>
                <w:szCs w:val="24"/>
                <w:highlight w:val="none"/>
              </w:rPr>
            </w:pPr>
            <w:r>
              <w:rPr>
                <w:rFonts w:ascii="宋体" w:hAnsi="宋体"/>
                <w:sz w:val="25"/>
                <w:szCs w:val="24"/>
                <w:highlight w:val="none"/>
              </w:rPr>
              <w:t>(备案章)</w:t>
            </w:r>
          </w:p>
          <w:p w14:paraId="3E2123F4">
            <w:pPr>
              <w:spacing w:line="360" w:lineRule="auto"/>
              <w:jc w:val="left"/>
              <w:rPr>
                <w:rFonts w:hint="eastAsia" w:ascii="宋体" w:hAnsi="宋体"/>
                <w:sz w:val="25"/>
                <w:szCs w:val="24"/>
                <w:highlight w:val="none"/>
              </w:rPr>
            </w:pPr>
          </w:p>
          <w:p w14:paraId="51B6B095">
            <w:pPr>
              <w:spacing w:line="360" w:lineRule="auto"/>
              <w:jc w:val="center"/>
              <w:rPr>
                <w:rFonts w:hint="eastAsia" w:ascii="宋体" w:hAnsi="宋体"/>
                <w:sz w:val="25"/>
                <w:szCs w:val="24"/>
                <w:highlight w:val="none"/>
              </w:rPr>
            </w:pPr>
            <w:r>
              <w:rPr>
                <w:rFonts w:hint="eastAsia" w:ascii="宋体" w:hAnsi="宋体"/>
                <w:sz w:val="25"/>
                <w:szCs w:val="24"/>
                <w:highlight w:val="none"/>
              </w:rPr>
              <w:t>日期：2024年</w:t>
            </w:r>
            <w:r>
              <w:rPr>
                <w:rFonts w:hint="eastAsia" w:ascii="宋体" w:hAnsi="宋体"/>
                <w:sz w:val="25"/>
                <w:szCs w:val="24"/>
                <w:highlight w:val="none"/>
                <w:lang w:val="en-US" w:eastAsia="zh-CN"/>
              </w:rPr>
              <w:t>10</w:t>
            </w:r>
            <w:r>
              <w:rPr>
                <w:rFonts w:hint="eastAsia" w:ascii="宋体" w:hAnsi="宋体"/>
                <w:sz w:val="25"/>
                <w:szCs w:val="24"/>
                <w:highlight w:val="none"/>
              </w:rPr>
              <w:t>月</w:t>
            </w:r>
            <w:r>
              <w:rPr>
                <w:rFonts w:hint="eastAsia" w:ascii="宋体" w:hAnsi="宋体"/>
                <w:sz w:val="25"/>
                <w:szCs w:val="24"/>
                <w:highlight w:val="none"/>
                <w:lang w:val="en-US" w:eastAsia="zh-CN"/>
              </w:rPr>
              <w:t>16</w:t>
            </w:r>
            <w:r>
              <w:rPr>
                <w:rFonts w:hint="eastAsia" w:ascii="宋体" w:hAnsi="宋体"/>
                <w:sz w:val="25"/>
                <w:szCs w:val="24"/>
                <w:highlight w:val="none"/>
              </w:rPr>
              <w:t>日</w:t>
            </w:r>
          </w:p>
        </w:tc>
      </w:tr>
    </w:tbl>
    <w:p w14:paraId="62E7D840">
      <w:pPr>
        <w:spacing w:line="560" w:lineRule="exact"/>
        <w:ind w:firstLine="3000" w:firstLineChars="996"/>
        <w:rPr>
          <w:rFonts w:hint="eastAsia" w:ascii="宋体" w:hAnsi="宋体"/>
          <w:b/>
          <w:bCs/>
          <w:sz w:val="30"/>
          <w:szCs w:val="30"/>
          <w:highlight w:val="none"/>
        </w:rPr>
      </w:pPr>
    </w:p>
    <w:p w14:paraId="49D27970">
      <w:pPr>
        <w:spacing w:line="560" w:lineRule="exact"/>
        <w:ind w:firstLine="3000" w:firstLineChars="996"/>
        <w:rPr>
          <w:rFonts w:hint="eastAsia" w:ascii="宋体" w:hAnsi="宋体"/>
          <w:b/>
          <w:bCs/>
          <w:sz w:val="30"/>
          <w:szCs w:val="30"/>
          <w:highlight w:val="none"/>
        </w:rPr>
      </w:pPr>
    </w:p>
    <w:p w14:paraId="09D35C78">
      <w:pPr>
        <w:pStyle w:val="30"/>
        <w:shd w:val="clear" w:color="auto" w:fill="FFFFFF"/>
        <w:spacing w:before="0" w:beforeAutospacing="0" w:after="0" w:afterAutospacing="0" w:line="400" w:lineRule="exact"/>
        <w:jc w:val="center"/>
        <w:rPr>
          <w:rFonts w:hint="eastAsia"/>
          <w:b/>
          <w:bCs/>
          <w:sz w:val="30"/>
          <w:szCs w:val="30"/>
          <w:highlight w:val="none"/>
        </w:rPr>
      </w:pPr>
      <w:r>
        <w:rPr>
          <w:rFonts w:hint="eastAsia"/>
          <w:b/>
          <w:bCs/>
          <w:sz w:val="30"/>
          <w:szCs w:val="30"/>
          <w:highlight w:val="none"/>
        </w:rPr>
        <w:t>如东洋口港经济开发区建筑新材料产业园标准厂房一期南侧临时用房拆除处置项目</w:t>
      </w:r>
      <w:r>
        <w:rPr>
          <w:rFonts w:hint="eastAsia"/>
          <w:b/>
          <w:bCs/>
          <w:sz w:val="30"/>
          <w:szCs w:val="30"/>
          <w:highlight w:val="none"/>
          <w:lang w:eastAsia="zh-CN"/>
        </w:rPr>
        <w:t>（</w:t>
      </w:r>
      <w:r>
        <w:rPr>
          <w:rFonts w:hint="eastAsia"/>
          <w:b/>
          <w:bCs/>
          <w:sz w:val="30"/>
          <w:szCs w:val="30"/>
          <w:highlight w:val="none"/>
          <w:lang w:val="en-US" w:eastAsia="zh-CN"/>
        </w:rPr>
        <w:t>重新招标）</w:t>
      </w:r>
      <w:bookmarkStart w:id="9" w:name="_GoBack"/>
      <w:bookmarkEnd w:id="9"/>
      <w:r>
        <w:rPr>
          <w:rFonts w:hint="eastAsia"/>
          <w:b/>
          <w:bCs/>
          <w:sz w:val="30"/>
          <w:szCs w:val="30"/>
          <w:highlight w:val="none"/>
        </w:rPr>
        <w:t>招标公告</w:t>
      </w:r>
    </w:p>
    <w:p w14:paraId="354102A6">
      <w:pPr>
        <w:pStyle w:val="30"/>
        <w:shd w:val="clear" w:color="auto" w:fill="FFFFFF"/>
        <w:spacing w:before="0" w:beforeAutospacing="0" w:after="0" w:afterAutospacing="0" w:line="400" w:lineRule="exact"/>
        <w:jc w:val="center"/>
        <w:rPr>
          <w:rFonts w:hint="eastAsia"/>
          <w:b/>
          <w:bCs/>
          <w:sz w:val="30"/>
          <w:szCs w:val="30"/>
          <w:highlight w:val="none"/>
        </w:rPr>
      </w:pPr>
      <w:r>
        <w:rPr>
          <w:rFonts w:hint="eastAsia"/>
          <w:b/>
          <w:bCs/>
          <w:sz w:val="30"/>
          <w:szCs w:val="30"/>
          <w:highlight w:val="none"/>
        </w:rPr>
        <w:t>（资格后审）</w:t>
      </w:r>
    </w:p>
    <w:p w14:paraId="61068D9B">
      <w:pPr>
        <w:pStyle w:val="30"/>
        <w:shd w:val="clear" w:color="auto" w:fill="FFFFFF"/>
        <w:spacing w:before="0" w:beforeAutospacing="0" w:after="0" w:afterAutospacing="0" w:line="400" w:lineRule="exact"/>
        <w:ind w:firstLine="3012" w:firstLineChars="1000"/>
        <w:jc w:val="both"/>
        <w:rPr>
          <w:rFonts w:hint="eastAsia"/>
          <w:b/>
          <w:bCs/>
          <w:sz w:val="30"/>
          <w:szCs w:val="30"/>
          <w:highlight w:val="none"/>
        </w:rPr>
      </w:pPr>
      <w:r>
        <w:rPr>
          <w:rFonts w:hint="eastAsia"/>
          <w:b/>
          <w:bCs/>
          <w:sz w:val="30"/>
          <w:szCs w:val="30"/>
          <w:highlight w:val="none"/>
        </w:rPr>
        <w:t>编号：YKG2024CAC161号</w:t>
      </w:r>
    </w:p>
    <w:p w14:paraId="2818959B">
      <w:pPr>
        <w:pStyle w:val="30"/>
        <w:shd w:val="clear" w:color="auto" w:fill="FFFFFF"/>
        <w:spacing w:before="0" w:beforeAutospacing="0" w:after="0" w:afterAutospacing="0" w:line="400" w:lineRule="exact"/>
        <w:ind w:firstLine="480" w:firstLineChars="200"/>
        <w:jc w:val="both"/>
        <w:rPr>
          <w:rFonts w:hint="eastAsia"/>
          <w:highlight w:val="none"/>
        </w:rPr>
      </w:pPr>
      <w:r>
        <w:rPr>
          <w:rFonts w:hint="eastAsia"/>
          <w:highlight w:val="none"/>
        </w:rPr>
        <w:t>江苏洋口港投资开发有限公司按规定以公开招标方式招标以下项目，欢迎供应商按下列要求参加公开招标活动。</w:t>
      </w:r>
    </w:p>
    <w:p w14:paraId="06B35B8C">
      <w:pPr>
        <w:pStyle w:val="30"/>
        <w:shd w:val="clear" w:color="auto" w:fill="FFFFFF"/>
        <w:spacing w:before="0" w:beforeAutospacing="0" w:after="0" w:afterAutospacing="0" w:line="400" w:lineRule="exact"/>
        <w:jc w:val="both"/>
        <w:rPr>
          <w:rFonts w:hint="eastAsia"/>
          <w:highlight w:val="none"/>
        </w:rPr>
      </w:pPr>
      <w:r>
        <w:rPr>
          <w:rFonts w:hint="eastAsia"/>
          <w:b/>
          <w:bCs/>
          <w:highlight w:val="none"/>
        </w:rPr>
        <w:t>一、招标人：</w:t>
      </w:r>
      <w:r>
        <w:rPr>
          <w:rFonts w:hint="eastAsia"/>
          <w:highlight w:val="none"/>
        </w:rPr>
        <w:t>江苏洋口港投资开发有限公司</w:t>
      </w:r>
    </w:p>
    <w:p w14:paraId="67A372E7">
      <w:pPr>
        <w:pStyle w:val="30"/>
        <w:shd w:val="clear" w:color="auto" w:fill="FFFFFF"/>
        <w:spacing w:before="0" w:beforeAutospacing="0" w:after="0" w:afterAutospacing="0" w:line="400" w:lineRule="exact"/>
        <w:jc w:val="both"/>
        <w:rPr>
          <w:rFonts w:hint="eastAsia"/>
          <w:highlight w:val="none"/>
        </w:rPr>
      </w:pPr>
      <w:r>
        <w:rPr>
          <w:rFonts w:hint="eastAsia"/>
          <w:b/>
          <w:bCs/>
          <w:highlight w:val="none"/>
        </w:rPr>
        <w:t xml:space="preserve">二、项目名称: </w:t>
      </w:r>
      <w:r>
        <w:rPr>
          <w:rFonts w:hint="eastAsia"/>
          <w:highlight w:val="none"/>
        </w:rPr>
        <w:t>如东洋口港经济开发区建筑新材料产业园标准厂房一期南侧临时用房拆除处置项目</w:t>
      </w:r>
    </w:p>
    <w:p w14:paraId="54303B65">
      <w:pPr>
        <w:pStyle w:val="30"/>
        <w:shd w:val="clear" w:color="auto" w:fill="FFFFFF"/>
        <w:spacing w:before="0" w:beforeAutospacing="0" w:after="0" w:afterAutospacing="0" w:line="400" w:lineRule="exact"/>
        <w:jc w:val="both"/>
        <w:rPr>
          <w:rFonts w:hint="eastAsia"/>
          <w:b/>
          <w:bCs/>
          <w:highlight w:val="none"/>
        </w:rPr>
      </w:pPr>
      <w:r>
        <w:rPr>
          <w:rFonts w:hint="eastAsia"/>
          <w:b/>
          <w:bCs/>
          <w:highlight w:val="none"/>
        </w:rPr>
        <w:t>三、</w:t>
      </w:r>
      <w:bookmarkStart w:id="1" w:name="_Hlk80168879"/>
      <w:r>
        <w:rPr>
          <w:rFonts w:hint="eastAsia"/>
          <w:b/>
          <w:bCs/>
          <w:highlight w:val="none"/>
        </w:rPr>
        <w:t>工期要求：</w:t>
      </w:r>
      <w:bookmarkEnd w:id="1"/>
      <w:r>
        <w:rPr>
          <w:rFonts w:hint="eastAsia"/>
          <w:b/>
          <w:bCs/>
          <w:highlight w:val="none"/>
        </w:rPr>
        <w:t>拆除处置必须在30日历天内完成（含拆除、垃圾清运、处置等一切内容）。</w:t>
      </w:r>
    </w:p>
    <w:p w14:paraId="6402C4EC">
      <w:pPr>
        <w:pStyle w:val="30"/>
        <w:shd w:val="clear" w:color="auto" w:fill="FFFFFF"/>
        <w:spacing w:before="0" w:beforeAutospacing="0" w:after="0" w:afterAutospacing="0" w:line="400" w:lineRule="exact"/>
        <w:jc w:val="both"/>
        <w:rPr>
          <w:rFonts w:hint="eastAsia"/>
          <w:highlight w:val="none"/>
        </w:rPr>
      </w:pPr>
      <w:r>
        <w:rPr>
          <w:rFonts w:hint="eastAsia"/>
          <w:b/>
          <w:bCs/>
          <w:highlight w:val="none"/>
        </w:rPr>
        <w:t>四、投标供应商资格要求：</w:t>
      </w:r>
      <w:r>
        <w:rPr>
          <w:rFonts w:hint="eastAsia"/>
          <w:highlight w:val="none"/>
        </w:rPr>
        <w:t>（必须同时符合以下条件）</w:t>
      </w:r>
    </w:p>
    <w:p w14:paraId="548FE199">
      <w:pPr>
        <w:pStyle w:val="26"/>
        <w:spacing w:before="0" w:beforeAutospacing="0" w:after="0" w:afterAutospacing="0" w:line="400" w:lineRule="exact"/>
        <w:ind w:firstLine="480" w:firstLineChars="200"/>
        <w:jc w:val="both"/>
        <w:rPr>
          <w:rFonts w:hint="eastAsia"/>
          <w:highlight w:val="none"/>
        </w:rPr>
      </w:pPr>
      <w:r>
        <w:rPr>
          <w:rFonts w:hint="eastAsia"/>
          <w:highlight w:val="none"/>
        </w:rPr>
        <w:t>1、投标供应商必须具有独立法人资格，建筑工程施工总承包叁级以上（含叁级）施工资质（并在有效期内），具有省级建设行政主管部门颁发的安全生产许可证，并在人员、设备、资金等方面具有相应的施工能力；</w:t>
      </w:r>
    </w:p>
    <w:p w14:paraId="0EF5EEE6">
      <w:pPr>
        <w:pStyle w:val="26"/>
        <w:spacing w:before="0" w:beforeAutospacing="0" w:after="0" w:afterAutospacing="0" w:line="400" w:lineRule="exact"/>
        <w:ind w:firstLine="480" w:firstLineChars="200"/>
        <w:jc w:val="both"/>
        <w:rPr>
          <w:rFonts w:hint="eastAsia"/>
          <w:highlight w:val="none"/>
        </w:rPr>
      </w:pPr>
      <w:r>
        <w:rPr>
          <w:rFonts w:hint="eastAsia"/>
          <w:highlight w:val="none"/>
        </w:rPr>
        <w:t>2、投标供应商必须为经如东县住房建设服务中心、如东县房屋征收行业协会登记备案过的单位（如东县住房建设服务中心、如东县房屋征收行业协会“2024年度如东县房屋征收房屋拆除企业备案登记结果”）。</w:t>
      </w:r>
    </w:p>
    <w:p w14:paraId="2770ADFD">
      <w:pPr>
        <w:pStyle w:val="31"/>
        <w:shd w:val="clear" w:color="auto" w:fill="FFFFFF"/>
        <w:spacing w:before="0" w:beforeAutospacing="0" w:after="0" w:afterAutospacing="0" w:line="380" w:lineRule="exact"/>
        <w:ind w:firstLine="480" w:firstLineChars="200"/>
        <w:rPr>
          <w:rFonts w:hint="eastAsia"/>
          <w:highlight w:val="none"/>
        </w:rPr>
      </w:pPr>
      <w:r>
        <w:rPr>
          <w:rFonts w:hint="eastAsia"/>
          <w:highlight w:val="none"/>
        </w:rPr>
        <w:t>3、项目负责人资格：</w:t>
      </w:r>
      <w:r>
        <w:rPr>
          <w:rFonts w:hint="eastAsia"/>
          <w:b/>
          <w:highlight w:val="none"/>
        </w:rPr>
        <w:t>建筑工程专业二级及以上注册建造师（不含临时）（须在有效期内的新证），同时需持有安全生产考核证B证</w:t>
      </w:r>
      <w:r>
        <w:rPr>
          <w:rFonts w:hint="eastAsia"/>
          <w:highlight w:val="none"/>
        </w:rPr>
        <w:t>。</w:t>
      </w:r>
    </w:p>
    <w:p w14:paraId="5F47F74E">
      <w:pPr>
        <w:pStyle w:val="31"/>
        <w:shd w:val="clear" w:color="auto" w:fill="FFFFFF"/>
        <w:spacing w:before="0" w:beforeAutospacing="0" w:after="0" w:afterAutospacing="0" w:line="380" w:lineRule="exact"/>
        <w:ind w:firstLine="480" w:firstLineChars="200"/>
        <w:rPr>
          <w:rFonts w:hint="eastAsia"/>
          <w:szCs w:val="24"/>
          <w:highlight w:val="none"/>
        </w:rPr>
      </w:pPr>
      <w:r>
        <w:rPr>
          <w:rFonts w:hint="eastAsia"/>
          <w:szCs w:val="24"/>
          <w:highlight w:val="none"/>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p>
    <w:p w14:paraId="51A55001">
      <w:pPr>
        <w:pStyle w:val="31"/>
        <w:shd w:val="clear" w:color="auto" w:fill="FFFFFF"/>
        <w:spacing w:before="0" w:beforeAutospacing="0" w:after="0" w:afterAutospacing="0" w:line="380" w:lineRule="exact"/>
        <w:ind w:firstLine="480" w:firstLineChars="200"/>
        <w:rPr>
          <w:rFonts w:hint="eastAsia"/>
          <w:szCs w:val="24"/>
          <w:highlight w:val="none"/>
        </w:rPr>
      </w:pPr>
      <w:r>
        <w:rPr>
          <w:rFonts w:hint="eastAsia"/>
          <w:szCs w:val="24"/>
          <w:highlight w:val="none"/>
        </w:rPr>
        <w:t>②如本项目投标人拟派的项目负责人为二级注册建造师的，必须根据《省住房和城乡建设厅关于我省二级建造师、二级造价工程师、二级注册建筑师、二级注册结构工程师注册证书电子证照换发的公告》〔2023〕第26号文件要求执行。</w:t>
      </w:r>
    </w:p>
    <w:p w14:paraId="2AB127B0">
      <w:pPr>
        <w:pStyle w:val="31"/>
        <w:shd w:val="clear" w:color="auto" w:fill="FFFFFF"/>
        <w:spacing w:before="0" w:beforeAutospacing="0" w:after="0" w:afterAutospacing="0" w:line="380" w:lineRule="exact"/>
        <w:ind w:firstLine="480" w:firstLineChars="200"/>
        <w:rPr>
          <w:rFonts w:hint="eastAsia"/>
          <w:szCs w:val="24"/>
          <w:highlight w:val="none"/>
        </w:rPr>
      </w:pPr>
      <w:r>
        <w:rPr>
          <w:rFonts w:hint="eastAsia"/>
          <w:szCs w:val="24"/>
          <w:highlight w:val="none"/>
        </w:rPr>
        <w:t>4、投标人拟派主要管理人员的要求：安全员1名，须具有安全员岗位证书（C证）。</w:t>
      </w:r>
    </w:p>
    <w:p w14:paraId="084212AE">
      <w:pPr>
        <w:pStyle w:val="31"/>
        <w:shd w:val="clear" w:color="auto" w:fill="FFFFFF"/>
        <w:spacing w:before="0" w:beforeAutospacing="0" w:after="0" w:afterAutospacing="0" w:line="380" w:lineRule="exact"/>
        <w:ind w:firstLine="480" w:firstLineChars="200"/>
        <w:rPr>
          <w:rFonts w:hint="eastAsia"/>
          <w:szCs w:val="24"/>
          <w:highlight w:val="none"/>
        </w:rPr>
      </w:pPr>
      <w:r>
        <w:rPr>
          <w:rFonts w:hint="eastAsia"/>
          <w:szCs w:val="24"/>
          <w:highlight w:val="none"/>
        </w:rPr>
        <w:t>5、本项目不接受联合体投标。</w:t>
      </w:r>
    </w:p>
    <w:p w14:paraId="72A1195A">
      <w:pPr>
        <w:pStyle w:val="30"/>
        <w:shd w:val="clear" w:color="auto" w:fill="FFFFFF"/>
        <w:spacing w:before="0" w:beforeAutospacing="0" w:after="0" w:afterAutospacing="0" w:line="400" w:lineRule="exact"/>
        <w:ind w:firstLine="480" w:firstLineChars="200"/>
        <w:jc w:val="both"/>
        <w:rPr>
          <w:rFonts w:hint="eastAsia"/>
          <w:highlight w:val="none"/>
        </w:rPr>
      </w:pPr>
      <w:r>
        <w:rPr>
          <w:rFonts w:hint="eastAsia"/>
          <w:highlight w:val="none"/>
        </w:rPr>
        <w:t>6、企业信誉要求: 企业未处于被责令停业、投标资格被取消或者财产被接管、冻结和破产状态、没有因骗取中标或者严重违约以及发生重大工程质量、安全生产事故等问题，被有关部门暂停投标资格并在暂停期内的。</w:t>
      </w:r>
    </w:p>
    <w:p w14:paraId="3327AF59">
      <w:pPr>
        <w:adjustRightInd w:val="0"/>
        <w:snapToGrid w:val="0"/>
        <w:spacing w:line="40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五、其他投标条件：</w:t>
      </w:r>
    </w:p>
    <w:p w14:paraId="18C56EA6">
      <w:pPr>
        <w:adjustRightInd w:val="0"/>
        <w:snapToGrid w:val="0"/>
        <w:spacing w:line="390" w:lineRule="exact"/>
        <w:ind w:firstLine="480"/>
        <w:rPr>
          <w:rFonts w:hint="eastAsia" w:ascii="宋体" w:hAnsi="宋体"/>
          <w:sz w:val="24"/>
          <w:szCs w:val="24"/>
          <w:highlight w:val="none"/>
        </w:rPr>
      </w:pPr>
      <w:r>
        <w:rPr>
          <w:rFonts w:hint="eastAsia" w:ascii="宋体" w:hAnsi="宋体"/>
          <w:sz w:val="24"/>
          <w:szCs w:val="24"/>
          <w:highlight w:val="none"/>
        </w:rPr>
        <w:t>1、本工程采用资格后审，以下条件属于资格审查的必要合格条件：（一）具有独立订立合同的能力；（二）未处于被责令停业、投标资格被取消或者财产被接管、冻结和破产状态；（三）企业没有因骗取中标或者严重违约以及发生重大工程质量、安全生产事故等违法违规问题，被有关部门暂停投标资格并在暂停期内的；（四）企业的资质类别、等级和项目负责人注册专业、资格等级符合国家有关规定；（五）本工程不接受联合体报名；（六）企业具备安全生产条件，并取得安全生产许可证（相关规定不作要求的除外）；（七）符合法律、法规规定的其他条件；（八）项目负责人具有安全培训合格证（B证）；（九）项目负责人必须满足下列条件之一：（a）项目负责人不得同时在两个或者两个以上单位受聘或者执业。（b）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F5A4DB3">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2.本工程采用资格后审形式，投标人需进行网上投标报名。投标截止时间后，招标人（招标代理机构）将核对系统里投标单位报名情况，确认无误后将进行现场解密（若投标单位未按招标文件要求上传至系统内相应位置的投标文件，将退回其投标文件，取消其投标资格）。</w:t>
      </w:r>
    </w:p>
    <w:p w14:paraId="373A5C7A">
      <w:pPr>
        <w:pStyle w:val="2"/>
        <w:spacing w:line="400" w:lineRule="exact"/>
        <w:rPr>
          <w:rFonts w:hint="eastAsia" w:ascii="宋体" w:hAnsi="宋体" w:cs="宋体"/>
          <w:sz w:val="24"/>
          <w:highlight w:val="none"/>
        </w:rPr>
      </w:pPr>
      <w:r>
        <w:rPr>
          <w:rFonts w:hint="eastAsia" w:ascii="宋体" w:hAnsi="宋体" w:cs="宋体"/>
          <w:sz w:val="24"/>
          <w:highlight w:val="none"/>
        </w:rPr>
        <w:t xml:space="preserve">    3.具体开标时间：2024年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05</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p>
    <w:p w14:paraId="141E8D8B">
      <w:pPr>
        <w:pStyle w:val="3"/>
        <w:spacing w:line="400" w:lineRule="exact"/>
        <w:rPr>
          <w:rFonts w:hint="eastAsia" w:hAnsi="宋体"/>
          <w:color w:val="auto"/>
          <w:kern w:val="2"/>
          <w:highlight w:val="none"/>
        </w:rPr>
      </w:pPr>
      <w:r>
        <w:rPr>
          <w:rFonts w:hint="eastAsia" w:hAnsi="宋体"/>
          <w:color w:val="auto"/>
          <w:kern w:val="2"/>
          <w:highlight w:val="none"/>
        </w:rPr>
        <w:t xml:space="preserve">   本项目采用不见面招投标，开标当日，投标人不必抵达开标现场，仅需在任意地点通过“如东县限额交易网-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050175AF">
      <w:pPr>
        <w:widowControl/>
        <w:shd w:val="clear" w:color="auto" w:fill="FFFFFF"/>
        <w:spacing w:line="400" w:lineRule="exact"/>
        <w:ind w:firstLine="401"/>
        <w:jc w:val="left"/>
        <w:rPr>
          <w:rFonts w:hint="eastAsia" w:ascii="SourceHanSansCN-Regular" w:hAnsi="SourceHanSansCN-Regular"/>
          <w:color w:val="333333"/>
          <w:kern w:val="0"/>
          <w:sz w:val="24"/>
          <w:szCs w:val="24"/>
          <w:highlight w:val="none"/>
        </w:rPr>
      </w:pPr>
      <w:r>
        <w:rPr>
          <w:rFonts w:hint="eastAsia" w:ascii="宋体" w:hAnsi="宋体"/>
          <w:color w:val="333333"/>
          <w:kern w:val="0"/>
          <w:sz w:val="24"/>
          <w:szCs w:val="24"/>
          <w:highlight w:val="none"/>
        </w:rPr>
        <w:t>4.本工程采用价格因素评标办法（详见招标文件）确定中标人。</w:t>
      </w:r>
    </w:p>
    <w:p w14:paraId="43DEBE3C">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六、开标需提供的资料：资格审查文件、商务标。</w:t>
      </w:r>
    </w:p>
    <w:p w14:paraId="7D9806A1">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本工程投标时不需要提供纸质投标文件。中标单位在确定中标后，必须提供伍份使用系统打印出来（加盖公章）的完整的投标文件交招标代理【投标文件份数：正本壹份，副本肆份（含电子档一份）】。</w:t>
      </w:r>
    </w:p>
    <w:p w14:paraId="05341C1B">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七、信息发布及网上报名时间：2024年</w:t>
      </w:r>
      <w:r>
        <w:rPr>
          <w:rFonts w:hint="eastAsia" w:ascii="宋体" w:hAnsi="宋体"/>
          <w:sz w:val="24"/>
          <w:szCs w:val="24"/>
          <w:highlight w:val="none"/>
          <w:lang w:val="en-US" w:eastAsia="zh-CN"/>
        </w:rPr>
        <w:t>10</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日至2024年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05</w:t>
      </w:r>
      <w:r>
        <w:rPr>
          <w:rFonts w:hint="eastAsia" w:ascii="宋体" w:hAnsi="宋体"/>
          <w:sz w:val="24"/>
          <w:szCs w:val="24"/>
          <w:highlight w:val="none"/>
        </w:rPr>
        <w:t>日。</w:t>
      </w:r>
    </w:p>
    <w:p w14:paraId="5559FD8E">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八、获取招标文件等资料时间：2024年</w:t>
      </w:r>
      <w:r>
        <w:rPr>
          <w:rFonts w:hint="eastAsia" w:ascii="宋体" w:hAnsi="宋体"/>
          <w:sz w:val="24"/>
          <w:szCs w:val="24"/>
          <w:highlight w:val="none"/>
          <w:lang w:val="en-US" w:eastAsia="zh-CN"/>
        </w:rPr>
        <w:t>10</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日至2024年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05</w:t>
      </w:r>
      <w:r>
        <w:rPr>
          <w:rFonts w:hint="eastAsia" w:ascii="宋体" w:hAnsi="宋体"/>
          <w:sz w:val="24"/>
          <w:szCs w:val="24"/>
          <w:highlight w:val="none"/>
        </w:rPr>
        <w:t>日。</w:t>
      </w:r>
    </w:p>
    <w:p w14:paraId="4F05DE12">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九、开标说明</w:t>
      </w:r>
    </w:p>
    <w:p w14:paraId="6BC8B2E3">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1.本项目采用不见面招投标，开标当日，投标人不必抵达开标现场，仅需在任意地点通过“如东县限额交易网-项目投标方”参加开标会议（不见面开标的系统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679902FC">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2.解密时间：投标人解密限定在采购人确定解密时间后半小时内完成（如因投标人个人原因，未在限定时间内完成解密的，将退回其投标文件，不得再参加本项目的投标）。</w:t>
      </w:r>
    </w:p>
    <w:p w14:paraId="1B0AF6E0">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3.凡参与本工程投标的投标企业必须办理CA加密锁和电子签章。详情请查阅南通市如东县限额交易网-办事指南-《南通市公共资源交易中心信息化系统数字CA证书办理指南》。使用办理的CA锁直接登录如东县限额交易网（网址见附件→项目投标方）的项目投标方业务系统下载招标文件及相关资料。具体操作流程详见《操作手册》，请投标人登录“如东县限额交易网-项目投标方”的登录页面下载《操作手册》。</w:t>
      </w:r>
    </w:p>
    <w:p w14:paraId="2EF34963">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CA锁办理咨询电话：0513-81553618。</w:t>
      </w:r>
    </w:p>
    <w:p w14:paraId="25B5CF47">
      <w:pPr>
        <w:adjustRightInd w:val="0"/>
        <w:snapToGrid w:val="0"/>
        <w:spacing w:line="400" w:lineRule="exact"/>
        <w:ind w:firstLine="482"/>
        <w:rPr>
          <w:rFonts w:hint="eastAsia" w:ascii="宋体" w:hAnsi="宋体"/>
          <w:sz w:val="24"/>
          <w:szCs w:val="24"/>
          <w:highlight w:val="none"/>
        </w:rPr>
      </w:pPr>
      <w:r>
        <w:rPr>
          <w:rFonts w:hint="eastAsia" w:ascii="宋体" w:hAnsi="宋体"/>
          <w:sz w:val="24"/>
          <w:szCs w:val="24"/>
          <w:highlight w:val="none"/>
        </w:rPr>
        <w:t>如东县限额交易网技术服务联系电话：0513-84800088。</w:t>
      </w:r>
    </w:p>
    <w:p w14:paraId="1529F8AD">
      <w:pPr>
        <w:adjustRightInd w:val="0"/>
        <w:snapToGrid w:val="0"/>
        <w:spacing w:line="400" w:lineRule="exact"/>
        <w:ind w:firstLine="482"/>
        <w:rPr>
          <w:rFonts w:hint="eastAsia" w:ascii="宋体" w:hAnsi="宋体"/>
          <w:sz w:val="24"/>
          <w:szCs w:val="24"/>
          <w:highlight w:val="none"/>
        </w:rPr>
      </w:pPr>
      <w:r>
        <w:rPr>
          <w:rFonts w:hint="eastAsia" w:ascii="宋体" w:hAnsi="宋体"/>
          <w:b/>
          <w:bCs/>
          <w:sz w:val="24"/>
          <w:szCs w:val="24"/>
          <w:highlight w:val="none"/>
        </w:rPr>
        <w:t>十、本项目投标保证金为1500元，具体详见招标文件</w:t>
      </w:r>
      <w:r>
        <w:rPr>
          <w:rFonts w:hint="eastAsia" w:ascii="宋体" w:hAnsi="宋体"/>
          <w:sz w:val="24"/>
          <w:szCs w:val="24"/>
          <w:highlight w:val="none"/>
        </w:rPr>
        <w:t>。</w:t>
      </w:r>
    </w:p>
    <w:p w14:paraId="7BA80E13">
      <w:pPr>
        <w:adjustRightInd w:val="0"/>
        <w:snapToGrid w:val="0"/>
        <w:spacing w:line="400" w:lineRule="exact"/>
        <w:ind w:firstLine="480"/>
        <w:rPr>
          <w:rFonts w:hint="eastAsia" w:ascii="宋体" w:hAnsi="宋体"/>
          <w:b/>
          <w:bCs/>
          <w:sz w:val="24"/>
          <w:szCs w:val="24"/>
          <w:highlight w:val="none"/>
        </w:rPr>
      </w:pPr>
      <w:r>
        <w:rPr>
          <w:rFonts w:hint="eastAsia" w:ascii="宋体" w:hAnsi="宋体"/>
          <w:b/>
          <w:bCs/>
          <w:sz w:val="24"/>
          <w:szCs w:val="24"/>
          <w:highlight w:val="none"/>
        </w:rPr>
        <w:t>十一、联系方式</w:t>
      </w:r>
    </w:p>
    <w:p w14:paraId="552C3378">
      <w:pPr>
        <w:adjustRightInd w:val="0"/>
        <w:snapToGrid w:val="0"/>
        <w:spacing w:line="400" w:lineRule="exact"/>
        <w:ind w:firstLine="480"/>
        <w:rPr>
          <w:rFonts w:hint="eastAsia" w:ascii="宋体" w:hAnsi="宋体"/>
          <w:sz w:val="24"/>
          <w:szCs w:val="24"/>
          <w:highlight w:val="none"/>
        </w:rPr>
      </w:pPr>
      <w:r>
        <w:rPr>
          <w:rFonts w:hint="eastAsia" w:ascii="宋体" w:hAnsi="宋体"/>
          <w:sz w:val="24"/>
          <w:szCs w:val="24"/>
          <w:highlight w:val="none"/>
        </w:rPr>
        <w:t>招标单位：江苏洋口港投资开发有限公司</w:t>
      </w:r>
    </w:p>
    <w:p w14:paraId="4B233533">
      <w:pPr>
        <w:adjustRightInd w:val="0"/>
        <w:snapToGrid w:val="0"/>
        <w:spacing w:line="400" w:lineRule="exact"/>
        <w:ind w:firstLine="480"/>
        <w:rPr>
          <w:rFonts w:hint="eastAsia" w:ascii="宋体" w:hAnsi="宋体"/>
          <w:sz w:val="24"/>
          <w:szCs w:val="24"/>
          <w:highlight w:val="none"/>
        </w:rPr>
      </w:pPr>
      <w:r>
        <w:rPr>
          <w:rFonts w:hint="eastAsia" w:ascii="宋体" w:hAnsi="宋体"/>
          <w:sz w:val="24"/>
          <w:szCs w:val="24"/>
          <w:highlight w:val="none"/>
        </w:rPr>
        <w:t>联 系 人：</w:t>
      </w:r>
      <w:bookmarkStart w:id="2" w:name="OLE_LINK1"/>
      <w:r>
        <w:rPr>
          <w:rFonts w:hint="eastAsia" w:ascii="宋体" w:hAnsi="宋体"/>
          <w:sz w:val="24"/>
          <w:szCs w:val="24"/>
          <w:highlight w:val="none"/>
        </w:rPr>
        <w:t>顾兴兴；联系方式：15358789488</w:t>
      </w:r>
    </w:p>
    <w:bookmarkEnd w:id="2"/>
    <w:p w14:paraId="3E2F5BD7">
      <w:pPr>
        <w:adjustRightInd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招标代理机构：江苏诚嘉工程监理咨询有限公司</w:t>
      </w:r>
    </w:p>
    <w:p w14:paraId="306DF027">
      <w:pPr>
        <w:adjustRightInd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地  址：如东县洋口港经济开发区</w:t>
      </w:r>
    </w:p>
    <w:p w14:paraId="5393C582">
      <w:pPr>
        <w:adjustRightInd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联系人：柳工；联系方式：15162817360</w:t>
      </w:r>
    </w:p>
    <w:p w14:paraId="74819F18">
      <w:pPr>
        <w:pStyle w:val="26"/>
        <w:spacing w:before="0" w:beforeAutospacing="0" w:after="0" w:afterAutospacing="0" w:line="500" w:lineRule="exact"/>
        <w:jc w:val="center"/>
        <w:rPr>
          <w:rFonts w:hint="eastAsia"/>
          <w:highlight w:val="none"/>
        </w:rPr>
      </w:pPr>
      <w:r>
        <w:rPr>
          <w:rFonts w:hint="eastAsia"/>
          <w:b/>
          <w:bCs/>
          <w:sz w:val="30"/>
          <w:szCs w:val="30"/>
          <w:highlight w:val="none"/>
        </w:rPr>
        <w:br w:type="page"/>
      </w:r>
      <w:r>
        <w:rPr>
          <w:rFonts w:hint="eastAsia"/>
          <w:b/>
          <w:bCs/>
          <w:sz w:val="30"/>
          <w:szCs w:val="30"/>
          <w:highlight w:val="none"/>
        </w:rPr>
        <w:t>第一章 招标项目要求</w:t>
      </w:r>
    </w:p>
    <w:p w14:paraId="5F8B49C6">
      <w:pPr>
        <w:pStyle w:val="30"/>
        <w:shd w:val="clear" w:color="auto" w:fill="FFFFFF"/>
        <w:spacing w:before="0" w:beforeAutospacing="0" w:after="0" w:afterAutospacing="0" w:line="400" w:lineRule="exact"/>
        <w:ind w:firstLine="482" w:firstLineChars="200"/>
        <w:rPr>
          <w:rFonts w:hint="eastAsia"/>
          <w:b/>
          <w:highlight w:val="none"/>
        </w:rPr>
      </w:pPr>
      <w:r>
        <w:rPr>
          <w:rFonts w:hint="eastAsia"/>
          <w:b/>
          <w:highlight w:val="none"/>
        </w:rPr>
        <w:t>一、项目概况：</w:t>
      </w:r>
    </w:p>
    <w:p w14:paraId="45985DCB">
      <w:pPr>
        <w:adjustRightInd w:val="0"/>
        <w:snapToGrid w:val="0"/>
        <w:spacing w:line="400" w:lineRule="exact"/>
        <w:ind w:firstLine="480" w:firstLineChars="200"/>
        <w:rPr>
          <w:bCs/>
          <w:highlight w:val="none"/>
        </w:rPr>
      </w:pPr>
      <w:r>
        <w:rPr>
          <w:rFonts w:hint="eastAsia" w:ascii="宋体" w:hAnsi="宋体" w:cs="宋体"/>
          <w:bCs/>
          <w:kern w:val="0"/>
          <w:sz w:val="24"/>
          <w:szCs w:val="24"/>
          <w:highlight w:val="none"/>
        </w:rPr>
        <w:t>如东洋口港经济开发区建筑新材料产业园标准厂房一期南侧临时用房拆除处置项目。</w:t>
      </w:r>
    </w:p>
    <w:p w14:paraId="169FD129">
      <w:pPr>
        <w:pStyle w:val="30"/>
        <w:numPr>
          <w:ilvl w:val="0"/>
          <w:numId w:val="1"/>
        </w:numPr>
        <w:shd w:val="clear" w:color="auto" w:fill="FFFFFF"/>
        <w:spacing w:before="0" w:beforeAutospacing="0" w:after="0" w:afterAutospacing="0" w:line="400" w:lineRule="exact"/>
        <w:ind w:firstLine="482" w:firstLineChars="200"/>
        <w:rPr>
          <w:rFonts w:hint="eastAsia"/>
          <w:b/>
          <w:highlight w:val="none"/>
        </w:rPr>
      </w:pPr>
      <w:r>
        <w:rPr>
          <w:rFonts w:hint="eastAsia"/>
          <w:b/>
          <w:highlight w:val="none"/>
        </w:rPr>
        <w:t>处置清单</w:t>
      </w:r>
    </w:p>
    <w:tbl>
      <w:tblPr>
        <w:tblStyle w:val="38"/>
        <w:tblW w:w="91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687"/>
        <w:gridCol w:w="1151"/>
        <w:gridCol w:w="1115"/>
        <w:gridCol w:w="851"/>
        <w:gridCol w:w="991"/>
        <w:gridCol w:w="851"/>
        <w:gridCol w:w="1216"/>
        <w:gridCol w:w="1279"/>
        <w:gridCol w:w="556"/>
      </w:tblGrid>
      <w:tr w14:paraId="3EAE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162" w:type="dxa"/>
            <w:gridSpan w:val="10"/>
            <w:tcBorders>
              <w:top w:val="single" w:color="auto" w:sz="4" w:space="0"/>
              <w:left w:val="single" w:color="auto" w:sz="4" w:space="0"/>
              <w:bottom w:val="single" w:color="auto" w:sz="4" w:space="0"/>
              <w:right w:val="single" w:color="auto" w:sz="4" w:space="0"/>
            </w:tcBorders>
          </w:tcPr>
          <w:p w14:paraId="588326A9">
            <w:pPr>
              <w:pStyle w:val="30"/>
              <w:shd w:val="clear" w:color="auto" w:fill="FFFFFF"/>
              <w:spacing w:before="0" w:beforeAutospacing="0" w:after="0" w:afterAutospacing="0" w:line="400" w:lineRule="exact"/>
              <w:jc w:val="center"/>
              <w:rPr>
                <w:rFonts w:hint="eastAsia"/>
                <w:snapToGrid w:val="0"/>
                <w:color w:val="000000"/>
                <w:spacing w:val="8"/>
                <w:sz w:val="19"/>
                <w:szCs w:val="19"/>
                <w:highlight w:val="none"/>
              </w:rPr>
            </w:pPr>
            <w:r>
              <w:rPr>
                <w:b/>
                <w:highlight w:val="none"/>
              </w:rPr>
              <w:t>江苏洋口港投资发展有限公司拟拆除物残值评估明细表</w:t>
            </w:r>
          </w:p>
        </w:tc>
      </w:tr>
      <w:tr w14:paraId="21F21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465" w:type="dxa"/>
            <w:vMerge w:val="restart"/>
            <w:tcBorders>
              <w:top w:val="single" w:color="auto" w:sz="4" w:space="0"/>
              <w:bottom w:val="single" w:color="auto" w:sz="4" w:space="0"/>
            </w:tcBorders>
            <w:textDirection w:val="tbRlV"/>
          </w:tcPr>
          <w:p w14:paraId="6315CB8F">
            <w:pPr>
              <w:widowControl/>
              <w:kinsoku w:val="0"/>
              <w:autoSpaceDE w:val="0"/>
              <w:autoSpaceDN w:val="0"/>
              <w:adjustRightInd w:val="0"/>
              <w:snapToGrid w:val="0"/>
              <w:spacing w:before="111" w:line="207" w:lineRule="auto"/>
              <w:ind w:left="113"/>
              <w:jc w:val="center"/>
              <w:textAlignment w:val="baseline"/>
              <w:rPr>
                <w:rFonts w:hint="eastAsia" w:ascii="宋体" w:hAnsi="宋体" w:cs="宋体"/>
                <w:snapToGrid w:val="0"/>
                <w:color w:val="000000"/>
                <w:kern w:val="0"/>
                <w:sz w:val="24"/>
                <w:szCs w:val="24"/>
                <w:highlight w:val="none"/>
                <w:lang w:eastAsia="en-US"/>
              </w:rPr>
            </w:pPr>
            <w:r>
              <w:rPr>
                <w:rFonts w:ascii="宋体" w:hAnsi="宋体" w:cs="宋体"/>
                <w:snapToGrid w:val="0"/>
                <w:color w:val="000000"/>
                <w:spacing w:val="53"/>
                <w:kern w:val="0"/>
                <w:sz w:val="24"/>
                <w:szCs w:val="24"/>
                <w:highlight w:val="none"/>
                <w:lang w:eastAsia="en-US"/>
              </w:rPr>
              <w:t>拟拆除物</w:t>
            </w:r>
          </w:p>
        </w:tc>
        <w:tc>
          <w:tcPr>
            <w:tcW w:w="687" w:type="dxa"/>
            <w:tcBorders>
              <w:top w:val="single" w:color="auto" w:sz="4" w:space="0"/>
              <w:bottom w:val="single" w:color="auto" w:sz="4" w:space="0"/>
            </w:tcBorders>
            <w:vAlign w:val="center"/>
          </w:tcPr>
          <w:p w14:paraId="42176F9F">
            <w:pPr>
              <w:widowControl/>
              <w:kinsoku w:val="0"/>
              <w:autoSpaceDE w:val="0"/>
              <w:autoSpaceDN w:val="0"/>
              <w:adjustRightInd w:val="0"/>
              <w:snapToGrid w:val="0"/>
              <w:spacing w:before="62" w:line="230" w:lineRule="auto"/>
              <w:ind w:left="145"/>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5"/>
                <w:kern w:val="0"/>
                <w:sz w:val="19"/>
                <w:szCs w:val="19"/>
                <w:highlight w:val="none"/>
                <w:lang w:eastAsia="en-US"/>
              </w:rPr>
              <w:t>序号</w:t>
            </w:r>
          </w:p>
        </w:tc>
        <w:tc>
          <w:tcPr>
            <w:tcW w:w="1151" w:type="dxa"/>
            <w:tcBorders>
              <w:top w:val="single" w:color="auto" w:sz="4" w:space="0"/>
              <w:bottom w:val="single" w:color="auto" w:sz="4" w:space="0"/>
            </w:tcBorders>
            <w:vAlign w:val="center"/>
          </w:tcPr>
          <w:p w14:paraId="60F9E923">
            <w:pPr>
              <w:widowControl/>
              <w:kinsoku w:val="0"/>
              <w:autoSpaceDE w:val="0"/>
              <w:autoSpaceDN w:val="0"/>
              <w:adjustRightInd w:val="0"/>
              <w:snapToGrid w:val="0"/>
              <w:spacing w:before="62" w:line="228" w:lineRule="auto"/>
              <w:ind w:left="182"/>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7"/>
                <w:kern w:val="0"/>
                <w:sz w:val="19"/>
                <w:szCs w:val="19"/>
                <w:highlight w:val="none"/>
                <w:lang w:eastAsia="en-US"/>
              </w:rPr>
              <w:t>项目名称</w:t>
            </w:r>
          </w:p>
        </w:tc>
        <w:tc>
          <w:tcPr>
            <w:tcW w:w="1115" w:type="dxa"/>
            <w:tcBorders>
              <w:top w:val="single" w:color="auto" w:sz="4" w:space="0"/>
              <w:bottom w:val="single" w:color="auto" w:sz="4" w:space="0"/>
            </w:tcBorders>
            <w:vAlign w:val="center"/>
          </w:tcPr>
          <w:p w14:paraId="25E24B4E">
            <w:pPr>
              <w:widowControl/>
              <w:kinsoku w:val="0"/>
              <w:autoSpaceDE w:val="0"/>
              <w:autoSpaceDN w:val="0"/>
              <w:adjustRightInd w:val="0"/>
              <w:snapToGrid w:val="0"/>
              <w:spacing w:before="62" w:line="229" w:lineRule="auto"/>
              <w:ind w:left="367"/>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2"/>
                <w:kern w:val="0"/>
                <w:sz w:val="19"/>
                <w:szCs w:val="19"/>
                <w:highlight w:val="none"/>
                <w:lang w:eastAsia="en-US"/>
              </w:rPr>
              <w:t>结构</w:t>
            </w:r>
          </w:p>
        </w:tc>
        <w:tc>
          <w:tcPr>
            <w:tcW w:w="851" w:type="dxa"/>
            <w:tcBorders>
              <w:top w:val="single" w:color="auto" w:sz="4" w:space="0"/>
              <w:bottom w:val="single" w:color="auto" w:sz="4" w:space="0"/>
            </w:tcBorders>
            <w:vAlign w:val="center"/>
          </w:tcPr>
          <w:p w14:paraId="5B35626B">
            <w:pPr>
              <w:widowControl/>
              <w:kinsoku w:val="0"/>
              <w:autoSpaceDE w:val="0"/>
              <w:autoSpaceDN w:val="0"/>
              <w:adjustRightInd w:val="0"/>
              <w:snapToGrid w:val="0"/>
              <w:spacing w:before="61" w:line="227" w:lineRule="auto"/>
              <w:ind w:left="228"/>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5"/>
                <w:kern w:val="0"/>
                <w:sz w:val="19"/>
                <w:szCs w:val="19"/>
                <w:highlight w:val="none"/>
                <w:lang w:eastAsia="en-US"/>
              </w:rPr>
              <w:t>层数</w:t>
            </w:r>
          </w:p>
        </w:tc>
        <w:tc>
          <w:tcPr>
            <w:tcW w:w="991" w:type="dxa"/>
            <w:tcBorders>
              <w:top w:val="single" w:color="auto" w:sz="4" w:space="0"/>
              <w:bottom w:val="single" w:color="auto" w:sz="4" w:space="0"/>
            </w:tcBorders>
            <w:vAlign w:val="center"/>
          </w:tcPr>
          <w:p w14:paraId="42BC151B">
            <w:pPr>
              <w:widowControl/>
              <w:kinsoku w:val="0"/>
              <w:autoSpaceDE w:val="0"/>
              <w:autoSpaceDN w:val="0"/>
              <w:adjustRightInd w:val="0"/>
              <w:snapToGrid w:val="0"/>
              <w:spacing w:before="62" w:line="228" w:lineRule="auto"/>
              <w:ind w:left="301"/>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4"/>
                <w:kern w:val="0"/>
                <w:sz w:val="19"/>
                <w:szCs w:val="19"/>
                <w:highlight w:val="none"/>
                <w:lang w:eastAsia="en-US"/>
              </w:rPr>
              <w:t>数量</w:t>
            </w:r>
          </w:p>
        </w:tc>
        <w:tc>
          <w:tcPr>
            <w:tcW w:w="851" w:type="dxa"/>
            <w:tcBorders>
              <w:top w:val="single" w:color="auto" w:sz="4" w:space="0"/>
              <w:bottom w:val="single" w:color="auto" w:sz="4" w:space="0"/>
            </w:tcBorders>
            <w:vAlign w:val="center"/>
          </w:tcPr>
          <w:p w14:paraId="1D861E81">
            <w:pPr>
              <w:widowControl/>
              <w:kinsoku w:val="0"/>
              <w:autoSpaceDE w:val="0"/>
              <w:autoSpaceDN w:val="0"/>
              <w:adjustRightInd w:val="0"/>
              <w:snapToGrid w:val="0"/>
              <w:spacing w:before="62" w:line="229" w:lineRule="auto"/>
              <w:ind w:left="231"/>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4"/>
                <w:kern w:val="0"/>
                <w:sz w:val="19"/>
                <w:szCs w:val="19"/>
                <w:highlight w:val="none"/>
                <w:lang w:eastAsia="en-US"/>
              </w:rPr>
              <w:t>单位</w:t>
            </w:r>
          </w:p>
        </w:tc>
        <w:tc>
          <w:tcPr>
            <w:tcW w:w="1216" w:type="dxa"/>
            <w:tcBorders>
              <w:top w:val="single" w:color="auto" w:sz="4" w:space="0"/>
              <w:bottom w:val="single" w:color="auto" w:sz="4" w:space="0"/>
            </w:tcBorders>
            <w:vAlign w:val="center"/>
          </w:tcPr>
          <w:p w14:paraId="07C63317">
            <w:pPr>
              <w:widowControl/>
              <w:kinsoku w:val="0"/>
              <w:autoSpaceDE w:val="0"/>
              <w:autoSpaceDN w:val="0"/>
              <w:adjustRightInd w:val="0"/>
              <w:snapToGrid w:val="0"/>
              <w:spacing w:before="62" w:line="227" w:lineRule="auto"/>
              <w:ind w:left="214"/>
              <w:jc w:val="left"/>
              <w:textAlignment w:val="baseline"/>
              <w:rPr>
                <w:rFonts w:hint="eastAsia" w:ascii="宋体" w:hAnsi="宋体" w:cs="宋体"/>
                <w:snapToGrid w:val="0"/>
                <w:color w:val="000000"/>
                <w:kern w:val="0"/>
                <w:sz w:val="19"/>
                <w:szCs w:val="19"/>
                <w:highlight w:val="none"/>
              </w:rPr>
            </w:pPr>
            <w:r>
              <w:rPr>
                <w:rFonts w:ascii="宋体" w:hAnsi="宋体" w:cs="宋体"/>
                <w:snapToGrid w:val="0"/>
                <w:color w:val="000000"/>
                <w:spacing w:val="7"/>
                <w:kern w:val="0"/>
                <w:sz w:val="19"/>
                <w:szCs w:val="19"/>
                <w:highlight w:val="none"/>
              </w:rPr>
              <w:t>残值单价</w:t>
            </w:r>
            <w:r>
              <w:rPr>
                <w:rFonts w:hint="eastAsia" w:ascii="宋体" w:hAnsi="宋体" w:cs="宋体"/>
                <w:snapToGrid w:val="0"/>
                <w:color w:val="000000"/>
                <w:spacing w:val="7"/>
                <w:kern w:val="0"/>
                <w:sz w:val="19"/>
                <w:szCs w:val="19"/>
                <w:highlight w:val="none"/>
              </w:rPr>
              <w:t>（控制单价）</w:t>
            </w:r>
          </w:p>
        </w:tc>
        <w:tc>
          <w:tcPr>
            <w:tcW w:w="1279" w:type="dxa"/>
            <w:tcBorders>
              <w:top w:val="single" w:color="auto" w:sz="4" w:space="0"/>
              <w:bottom w:val="single" w:color="auto" w:sz="4" w:space="0"/>
            </w:tcBorders>
            <w:vAlign w:val="center"/>
          </w:tcPr>
          <w:p w14:paraId="68FB4237">
            <w:pPr>
              <w:widowControl/>
              <w:kinsoku w:val="0"/>
              <w:autoSpaceDE w:val="0"/>
              <w:autoSpaceDN w:val="0"/>
              <w:adjustRightInd w:val="0"/>
              <w:snapToGrid w:val="0"/>
              <w:spacing w:before="62" w:line="227" w:lineRule="auto"/>
              <w:ind w:left="145"/>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6"/>
                <w:kern w:val="0"/>
                <w:sz w:val="19"/>
                <w:szCs w:val="19"/>
                <w:highlight w:val="none"/>
                <w:lang w:eastAsia="en-US"/>
              </w:rPr>
              <w:t>残值价(元)</w:t>
            </w:r>
          </w:p>
        </w:tc>
        <w:tc>
          <w:tcPr>
            <w:tcW w:w="556" w:type="dxa"/>
            <w:tcBorders>
              <w:top w:val="single" w:color="auto" w:sz="4" w:space="0"/>
              <w:bottom w:val="single" w:color="auto" w:sz="4" w:space="0"/>
            </w:tcBorders>
            <w:textDirection w:val="tbRlV"/>
          </w:tcPr>
          <w:p w14:paraId="259A966F">
            <w:pPr>
              <w:widowControl/>
              <w:kinsoku w:val="0"/>
              <w:autoSpaceDE w:val="0"/>
              <w:autoSpaceDN w:val="0"/>
              <w:adjustRightInd w:val="0"/>
              <w:snapToGrid w:val="0"/>
              <w:spacing w:before="176" w:line="217" w:lineRule="auto"/>
              <w:ind w:left="235"/>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8"/>
                <w:kern w:val="0"/>
                <w:sz w:val="19"/>
                <w:szCs w:val="19"/>
                <w:highlight w:val="none"/>
                <w:lang w:eastAsia="en-US"/>
              </w:rPr>
              <w:t>备</w:t>
            </w:r>
            <w:r>
              <w:rPr>
                <w:rFonts w:ascii="宋体" w:hAnsi="宋体" w:cs="宋体"/>
                <w:snapToGrid w:val="0"/>
                <w:color w:val="000000"/>
                <w:spacing w:val="18"/>
                <w:kern w:val="0"/>
                <w:sz w:val="19"/>
                <w:szCs w:val="19"/>
                <w:highlight w:val="none"/>
                <w:lang w:eastAsia="en-US"/>
              </w:rPr>
              <w:t xml:space="preserve"> </w:t>
            </w:r>
            <w:r>
              <w:rPr>
                <w:rFonts w:ascii="宋体" w:hAnsi="宋体" w:cs="宋体"/>
                <w:snapToGrid w:val="0"/>
                <w:color w:val="000000"/>
                <w:spacing w:val="8"/>
                <w:kern w:val="0"/>
                <w:sz w:val="19"/>
                <w:szCs w:val="19"/>
                <w:highlight w:val="none"/>
                <w:lang w:eastAsia="en-US"/>
              </w:rPr>
              <w:t>注</w:t>
            </w:r>
          </w:p>
        </w:tc>
      </w:tr>
      <w:tr w14:paraId="07195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465" w:type="dxa"/>
            <w:vMerge w:val="continue"/>
            <w:tcBorders>
              <w:top w:val="single" w:color="auto" w:sz="4" w:space="0"/>
              <w:bottom w:val="nil"/>
            </w:tcBorders>
            <w:textDirection w:val="tbRlV"/>
          </w:tcPr>
          <w:p w14:paraId="70CBEC01">
            <w:pPr>
              <w:pStyle w:val="39"/>
              <w:rPr>
                <w:highlight w:val="none"/>
              </w:rPr>
            </w:pPr>
          </w:p>
        </w:tc>
        <w:tc>
          <w:tcPr>
            <w:tcW w:w="687" w:type="dxa"/>
            <w:tcBorders>
              <w:top w:val="single" w:color="auto" w:sz="4" w:space="0"/>
            </w:tcBorders>
          </w:tcPr>
          <w:p w14:paraId="6FAFE0CE">
            <w:pPr>
              <w:widowControl/>
              <w:kinsoku w:val="0"/>
              <w:autoSpaceDE w:val="0"/>
              <w:autoSpaceDN w:val="0"/>
              <w:adjustRightInd w:val="0"/>
              <w:snapToGrid w:val="0"/>
              <w:spacing w:before="246" w:line="195" w:lineRule="auto"/>
              <w:ind w:left="310"/>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kern w:val="0"/>
                <w:sz w:val="19"/>
                <w:szCs w:val="19"/>
                <w:highlight w:val="none"/>
                <w:lang w:eastAsia="en-US"/>
              </w:rPr>
              <w:t>1</w:t>
            </w:r>
          </w:p>
        </w:tc>
        <w:tc>
          <w:tcPr>
            <w:tcW w:w="1151" w:type="dxa"/>
            <w:tcBorders>
              <w:top w:val="single" w:color="auto" w:sz="4" w:space="0"/>
            </w:tcBorders>
          </w:tcPr>
          <w:p w14:paraId="74DD2DC5">
            <w:pPr>
              <w:widowControl/>
              <w:kinsoku w:val="0"/>
              <w:autoSpaceDE w:val="0"/>
              <w:autoSpaceDN w:val="0"/>
              <w:adjustRightInd w:val="0"/>
              <w:snapToGrid w:val="0"/>
              <w:spacing w:before="212" w:line="227" w:lineRule="auto"/>
              <w:ind w:left="393"/>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3"/>
                <w:kern w:val="0"/>
                <w:sz w:val="19"/>
                <w:szCs w:val="19"/>
                <w:highlight w:val="none"/>
                <w:lang w:eastAsia="en-US"/>
              </w:rPr>
              <w:t>附房</w:t>
            </w:r>
          </w:p>
        </w:tc>
        <w:tc>
          <w:tcPr>
            <w:tcW w:w="1115" w:type="dxa"/>
            <w:tcBorders>
              <w:top w:val="single" w:color="auto" w:sz="4" w:space="0"/>
            </w:tcBorders>
          </w:tcPr>
          <w:p w14:paraId="0CC637FF">
            <w:pPr>
              <w:widowControl/>
              <w:kinsoku w:val="0"/>
              <w:autoSpaceDE w:val="0"/>
              <w:autoSpaceDN w:val="0"/>
              <w:adjustRightInd w:val="0"/>
              <w:snapToGrid w:val="0"/>
              <w:spacing w:before="211" w:line="229" w:lineRule="auto"/>
              <w:ind w:left="262"/>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7"/>
                <w:kern w:val="0"/>
                <w:sz w:val="19"/>
                <w:szCs w:val="19"/>
                <w:highlight w:val="none"/>
                <w:lang w:eastAsia="en-US"/>
              </w:rPr>
              <w:t>彩钢房</w:t>
            </w:r>
          </w:p>
        </w:tc>
        <w:tc>
          <w:tcPr>
            <w:tcW w:w="851" w:type="dxa"/>
            <w:tcBorders>
              <w:top w:val="single" w:color="auto" w:sz="4" w:space="0"/>
            </w:tcBorders>
          </w:tcPr>
          <w:p w14:paraId="0DC4CA12">
            <w:pPr>
              <w:widowControl/>
              <w:kinsoku w:val="0"/>
              <w:autoSpaceDE w:val="0"/>
              <w:autoSpaceDN w:val="0"/>
              <w:adjustRightInd w:val="0"/>
              <w:snapToGrid w:val="0"/>
              <w:spacing w:before="212" w:line="227" w:lineRule="auto"/>
              <w:ind w:left="232"/>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3"/>
                <w:kern w:val="0"/>
                <w:sz w:val="19"/>
                <w:szCs w:val="19"/>
                <w:highlight w:val="none"/>
                <w:lang w:eastAsia="en-US"/>
              </w:rPr>
              <w:t>一层</w:t>
            </w:r>
          </w:p>
        </w:tc>
        <w:tc>
          <w:tcPr>
            <w:tcW w:w="991" w:type="dxa"/>
            <w:tcBorders>
              <w:top w:val="single" w:color="auto" w:sz="4" w:space="0"/>
            </w:tcBorders>
          </w:tcPr>
          <w:p w14:paraId="0F7181F8">
            <w:pPr>
              <w:widowControl/>
              <w:kinsoku w:val="0"/>
              <w:autoSpaceDE w:val="0"/>
              <w:autoSpaceDN w:val="0"/>
              <w:adjustRightInd w:val="0"/>
              <w:snapToGrid w:val="0"/>
              <w:spacing w:before="243" w:line="189" w:lineRule="auto"/>
              <w:ind w:left="153"/>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3"/>
                <w:kern w:val="0"/>
                <w:sz w:val="19"/>
                <w:szCs w:val="19"/>
                <w:highlight w:val="none"/>
                <w:lang w:eastAsia="en-US"/>
              </w:rPr>
              <w:t>2453.03</w:t>
            </w:r>
          </w:p>
        </w:tc>
        <w:tc>
          <w:tcPr>
            <w:tcW w:w="851" w:type="dxa"/>
            <w:tcBorders>
              <w:top w:val="single" w:color="auto" w:sz="4" w:space="0"/>
            </w:tcBorders>
          </w:tcPr>
          <w:p w14:paraId="67FC4574">
            <w:pPr>
              <w:widowControl/>
              <w:kinsoku w:val="0"/>
              <w:autoSpaceDE w:val="0"/>
              <w:autoSpaceDN w:val="0"/>
              <w:adjustRightInd w:val="0"/>
              <w:snapToGrid w:val="0"/>
              <w:spacing w:before="226" w:line="217" w:lineRule="auto"/>
              <w:ind w:left="315"/>
              <w:jc w:val="left"/>
              <w:textAlignment w:val="baseline"/>
              <w:rPr>
                <w:rFonts w:eastAsia="Times New Roman"/>
                <w:snapToGrid w:val="0"/>
                <w:color w:val="000000"/>
                <w:kern w:val="0"/>
                <w:sz w:val="12"/>
                <w:szCs w:val="12"/>
                <w:highlight w:val="none"/>
                <w:lang w:eastAsia="en-US"/>
              </w:rPr>
            </w:pPr>
            <w:r>
              <w:rPr>
                <w:rFonts w:eastAsia="Times New Roman"/>
                <w:snapToGrid w:val="0"/>
                <w:color w:val="000000"/>
                <w:spacing w:val="4"/>
                <w:kern w:val="0"/>
                <w:position w:val="-3"/>
                <w:sz w:val="19"/>
                <w:szCs w:val="19"/>
                <w:highlight w:val="none"/>
                <w:lang w:eastAsia="en-US"/>
              </w:rPr>
              <w:t>m</w:t>
            </w:r>
            <w:r>
              <w:rPr>
                <w:rFonts w:eastAsia="Times New Roman"/>
                <w:snapToGrid w:val="0"/>
                <w:color w:val="000000"/>
                <w:spacing w:val="4"/>
                <w:kern w:val="0"/>
                <w:position w:val="3"/>
                <w:sz w:val="12"/>
                <w:szCs w:val="12"/>
                <w:highlight w:val="none"/>
                <w:lang w:eastAsia="en-US"/>
              </w:rPr>
              <w:t>2</w:t>
            </w:r>
          </w:p>
        </w:tc>
        <w:tc>
          <w:tcPr>
            <w:tcW w:w="1216" w:type="dxa"/>
            <w:tcBorders>
              <w:top w:val="single" w:color="auto" w:sz="4" w:space="0"/>
            </w:tcBorders>
          </w:tcPr>
          <w:p w14:paraId="41EF0485">
            <w:pPr>
              <w:widowControl/>
              <w:kinsoku w:val="0"/>
              <w:autoSpaceDE w:val="0"/>
              <w:autoSpaceDN w:val="0"/>
              <w:adjustRightInd w:val="0"/>
              <w:snapToGrid w:val="0"/>
              <w:spacing w:before="246" w:line="195" w:lineRule="auto"/>
              <w:ind w:left="562"/>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kern w:val="0"/>
                <w:sz w:val="19"/>
                <w:szCs w:val="19"/>
                <w:highlight w:val="none"/>
                <w:lang w:eastAsia="en-US"/>
              </w:rPr>
              <w:t>9</w:t>
            </w:r>
          </w:p>
        </w:tc>
        <w:tc>
          <w:tcPr>
            <w:tcW w:w="1279" w:type="dxa"/>
            <w:tcBorders>
              <w:top w:val="single" w:color="auto" w:sz="4" w:space="0"/>
            </w:tcBorders>
          </w:tcPr>
          <w:p w14:paraId="2D79FC26">
            <w:pPr>
              <w:widowControl/>
              <w:kinsoku w:val="0"/>
              <w:autoSpaceDE w:val="0"/>
              <w:autoSpaceDN w:val="0"/>
              <w:adjustRightInd w:val="0"/>
              <w:snapToGrid w:val="0"/>
              <w:spacing w:before="246" w:line="195" w:lineRule="auto"/>
              <w:ind w:left="393"/>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spacing w:val="4"/>
                <w:kern w:val="0"/>
                <w:sz w:val="19"/>
                <w:szCs w:val="19"/>
                <w:highlight w:val="none"/>
                <w:lang w:eastAsia="en-US"/>
              </w:rPr>
              <w:t>22077</w:t>
            </w:r>
          </w:p>
        </w:tc>
        <w:tc>
          <w:tcPr>
            <w:tcW w:w="556" w:type="dxa"/>
            <w:tcBorders>
              <w:top w:val="single" w:color="auto" w:sz="4" w:space="0"/>
            </w:tcBorders>
          </w:tcPr>
          <w:p w14:paraId="415F5816">
            <w:pPr>
              <w:pStyle w:val="39"/>
              <w:rPr>
                <w:highlight w:val="none"/>
              </w:rPr>
            </w:pPr>
          </w:p>
        </w:tc>
      </w:tr>
      <w:tr w14:paraId="675C1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465" w:type="dxa"/>
            <w:vMerge w:val="continue"/>
            <w:tcBorders>
              <w:top w:val="nil"/>
              <w:bottom w:val="nil"/>
            </w:tcBorders>
            <w:textDirection w:val="tbRlV"/>
          </w:tcPr>
          <w:p w14:paraId="4F0B66D0">
            <w:pPr>
              <w:pStyle w:val="39"/>
              <w:rPr>
                <w:highlight w:val="none"/>
              </w:rPr>
            </w:pPr>
          </w:p>
        </w:tc>
        <w:tc>
          <w:tcPr>
            <w:tcW w:w="687" w:type="dxa"/>
          </w:tcPr>
          <w:p w14:paraId="2F59B1D7">
            <w:pPr>
              <w:widowControl/>
              <w:kinsoku w:val="0"/>
              <w:autoSpaceDE w:val="0"/>
              <w:autoSpaceDN w:val="0"/>
              <w:adjustRightInd w:val="0"/>
              <w:snapToGrid w:val="0"/>
              <w:spacing w:before="246" w:line="195" w:lineRule="auto"/>
              <w:ind w:left="291"/>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kern w:val="0"/>
                <w:sz w:val="19"/>
                <w:szCs w:val="19"/>
                <w:highlight w:val="none"/>
                <w:lang w:eastAsia="en-US"/>
              </w:rPr>
              <w:t>2</w:t>
            </w:r>
          </w:p>
        </w:tc>
        <w:tc>
          <w:tcPr>
            <w:tcW w:w="1151" w:type="dxa"/>
          </w:tcPr>
          <w:p w14:paraId="47E0F6DC">
            <w:pPr>
              <w:widowControl/>
              <w:kinsoku w:val="0"/>
              <w:autoSpaceDE w:val="0"/>
              <w:autoSpaceDN w:val="0"/>
              <w:adjustRightInd w:val="0"/>
              <w:snapToGrid w:val="0"/>
              <w:spacing w:before="212" w:line="228" w:lineRule="auto"/>
              <w:ind w:left="401"/>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7"/>
                <w:kern w:val="0"/>
                <w:sz w:val="19"/>
                <w:szCs w:val="19"/>
                <w:highlight w:val="none"/>
                <w:lang w:eastAsia="en-US"/>
              </w:rPr>
              <w:t>电缆</w:t>
            </w:r>
          </w:p>
        </w:tc>
        <w:tc>
          <w:tcPr>
            <w:tcW w:w="1115" w:type="dxa"/>
          </w:tcPr>
          <w:p w14:paraId="74C5E961">
            <w:pPr>
              <w:widowControl/>
              <w:kinsoku w:val="0"/>
              <w:autoSpaceDE w:val="0"/>
              <w:autoSpaceDN w:val="0"/>
              <w:adjustRightInd w:val="0"/>
              <w:snapToGrid w:val="0"/>
              <w:spacing w:before="212" w:line="255" w:lineRule="exact"/>
              <w:ind w:left="109"/>
              <w:jc w:val="left"/>
              <w:textAlignment w:val="baseline"/>
              <w:rPr>
                <w:rFonts w:hint="eastAsia" w:ascii="宋体" w:hAnsi="宋体" w:eastAsia="宋体" w:cs="宋体"/>
                <w:snapToGrid w:val="0"/>
                <w:color w:val="000000"/>
                <w:kern w:val="0"/>
                <w:sz w:val="19"/>
                <w:szCs w:val="19"/>
                <w:highlight w:val="none"/>
                <w:lang w:eastAsia="zh-CN"/>
              </w:rPr>
            </w:pPr>
            <w:r>
              <w:rPr>
                <w:rFonts w:hint="eastAsia" w:ascii="宋体" w:hAnsi="宋体" w:cs="宋体"/>
                <w:snapToGrid w:val="0"/>
                <w:color w:val="000000"/>
                <w:spacing w:val="4"/>
                <w:kern w:val="0"/>
                <w:position w:val="1"/>
                <w:sz w:val="19"/>
                <w:szCs w:val="19"/>
                <w:highlight w:val="none"/>
                <w:lang w:eastAsia="zh-CN"/>
              </w:rPr>
              <w:t>4*70+1*35</w:t>
            </w:r>
          </w:p>
        </w:tc>
        <w:tc>
          <w:tcPr>
            <w:tcW w:w="851" w:type="dxa"/>
          </w:tcPr>
          <w:p w14:paraId="40B0DD93">
            <w:pPr>
              <w:pStyle w:val="39"/>
              <w:rPr>
                <w:highlight w:val="none"/>
              </w:rPr>
            </w:pPr>
          </w:p>
        </w:tc>
        <w:tc>
          <w:tcPr>
            <w:tcW w:w="991" w:type="dxa"/>
          </w:tcPr>
          <w:p w14:paraId="27EE4C9D">
            <w:pPr>
              <w:widowControl/>
              <w:kinsoku w:val="0"/>
              <w:autoSpaceDE w:val="0"/>
              <w:autoSpaceDN w:val="0"/>
              <w:adjustRightInd w:val="0"/>
              <w:snapToGrid w:val="0"/>
              <w:spacing w:before="243" w:line="189" w:lineRule="auto"/>
              <w:ind w:left="354"/>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1"/>
                <w:kern w:val="0"/>
                <w:sz w:val="19"/>
                <w:szCs w:val="19"/>
                <w:highlight w:val="none"/>
                <w:lang w:eastAsia="en-US"/>
              </w:rPr>
              <w:t>756</w:t>
            </w:r>
          </w:p>
        </w:tc>
        <w:tc>
          <w:tcPr>
            <w:tcW w:w="851" w:type="dxa"/>
          </w:tcPr>
          <w:p w14:paraId="442D2621">
            <w:pPr>
              <w:widowControl/>
              <w:kinsoku w:val="0"/>
              <w:autoSpaceDE w:val="0"/>
              <w:autoSpaceDN w:val="0"/>
              <w:adjustRightInd w:val="0"/>
              <w:snapToGrid w:val="0"/>
              <w:spacing w:before="290" w:line="134" w:lineRule="exact"/>
              <w:ind w:left="346"/>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spacing w:val="5"/>
                <w:kern w:val="0"/>
                <w:sz w:val="19"/>
                <w:szCs w:val="19"/>
                <w:highlight w:val="none"/>
                <w:lang w:eastAsia="en-US"/>
              </w:rPr>
              <w:t>m</w:t>
            </w:r>
          </w:p>
        </w:tc>
        <w:tc>
          <w:tcPr>
            <w:tcW w:w="1216" w:type="dxa"/>
          </w:tcPr>
          <w:p w14:paraId="5B62E61A">
            <w:pPr>
              <w:widowControl/>
              <w:kinsoku w:val="0"/>
              <w:autoSpaceDE w:val="0"/>
              <w:autoSpaceDN w:val="0"/>
              <w:adjustRightInd w:val="0"/>
              <w:snapToGrid w:val="0"/>
              <w:spacing w:before="246" w:line="195" w:lineRule="auto"/>
              <w:ind w:left="460"/>
              <w:jc w:val="left"/>
              <w:textAlignment w:val="baseline"/>
              <w:rPr>
                <w:rFonts w:hint="default" w:eastAsia="宋体"/>
                <w:snapToGrid w:val="0"/>
                <w:color w:val="000000"/>
                <w:kern w:val="0"/>
                <w:sz w:val="19"/>
                <w:szCs w:val="19"/>
                <w:highlight w:val="none"/>
                <w:lang w:val="en-US" w:eastAsia="zh-CN"/>
              </w:rPr>
            </w:pPr>
            <w:r>
              <w:rPr>
                <w:rFonts w:hint="eastAsia"/>
                <w:snapToGrid w:val="0"/>
                <w:color w:val="000000"/>
                <w:spacing w:val="3"/>
                <w:kern w:val="0"/>
                <w:sz w:val="19"/>
                <w:szCs w:val="19"/>
                <w:highlight w:val="none"/>
                <w:lang w:val="en-US" w:eastAsia="zh-CN"/>
              </w:rPr>
              <w:t>195</w:t>
            </w:r>
          </w:p>
        </w:tc>
        <w:tc>
          <w:tcPr>
            <w:tcW w:w="1279" w:type="dxa"/>
          </w:tcPr>
          <w:p w14:paraId="5466F4E1">
            <w:pPr>
              <w:widowControl/>
              <w:kinsoku w:val="0"/>
              <w:autoSpaceDE w:val="0"/>
              <w:autoSpaceDN w:val="0"/>
              <w:adjustRightInd w:val="0"/>
              <w:snapToGrid w:val="0"/>
              <w:spacing w:before="246" w:line="195" w:lineRule="auto"/>
              <w:ind w:left="362"/>
              <w:jc w:val="left"/>
              <w:textAlignment w:val="baseline"/>
              <w:rPr>
                <w:rFonts w:hint="eastAsia" w:eastAsia="宋体"/>
                <w:snapToGrid w:val="0"/>
                <w:color w:val="000000"/>
                <w:kern w:val="0"/>
                <w:sz w:val="19"/>
                <w:szCs w:val="19"/>
                <w:highlight w:val="none"/>
                <w:lang w:eastAsia="zh-CN"/>
              </w:rPr>
            </w:pPr>
            <w:r>
              <w:rPr>
                <w:rFonts w:hint="eastAsia"/>
                <w:snapToGrid w:val="0"/>
                <w:color w:val="000000"/>
                <w:spacing w:val="1"/>
                <w:kern w:val="0"/>
                <w:sz w:val="19"/>
                <w:szCs w:val="19"/>
                <w:highlight w:val="none"/>
                <w:lang w:eastAsia="zh-CN"/>
              </w:rPr>
              <w:t>147420</w:t>
            </w:r>
          </w:p>
        </w:tc>
        <w:tc>
          <w:tcPr>
            <w:tcW w:w="556" w:type="dxa"/>
          </w:tcPr>
          <w:p w14:paraId="1F4DDA09">
            <w:pPr>
              <w:pStyle w:val="39"/>
              <w:rPr>
                <w:highlight w:val="none"/>
              </w:rPr>
            </w:pPr>
          </w:p>
        </w:tc>
      </w:tr>
      <w:tr w14:paraId="1239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65" w:type="dxa"/>
            <w:vMerge w:val="continue"/>
            <w:tcBorders>
              <w:top w:val="nil"/>
              <w:bottom w:val="nil"/>
            </w:tcBorders>
            <w:textDirection w:val="tbRlV"/>
          </w:tcPr>
          <w:p w14:paraId="235D6985">
            <w:pPr>
              <w:pStyle w:val="39"/>
              <w:rPr>
                <w:highlight w:val="none"/>
              </w:rPr>
            </w:pPr>
          </w:p>
        </w:tc>
        <w:tc>
          <w:tcPr>
            <w:tcW w:w="687" w:type="dxa"/>
          </w:tcPr>
          <w:p w14:paraId="50AB3235">
            <w:pPr>
              <w:widowControl/>
              <w:kinsoku w:val="0"/>
              <w:autoSpaceDE w:val="0"/>
              <w:autoSpaceDN w:val="0"/>
              <w:adjustRightInd w:val="0"/>
              <w:snapToGrid w:val="0"/>
              <w:spacing w:before="250" w:line="195" w:lineRule="auto"/>
              <w:ind w:left="295"/>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kern w:val="0"/>
                <w:sz w:val="19"/>
                <w:szCs w:val="19"/>
                <w:highlight w:val="none"/>
                <w:lang w:eastAsia="en-US"/>
              </w:rPr>
              <w:t>3</w:t>
            </w:r>
          </w:p>
        </w:tc>
        <w:tc>
          <w:tcPr>
            <w:tcW w:w="1151" w:type="dxa"/>
          </w:tcPr>
          <w:p w14:paraId="7C2B9551">
            <w:pPr>
              <w:widowControl/>
              <w:kinsoku w:val="0"/>
              <w:autoSpaceDE w:val="0"/>
              <w:autoSpaceDN w:val="0"/>
              <w:adjustRightInd w:val="0"/>
              <w:snapToGrid w:val="0"/>
              <w:spacing w:before="60" w:line="271" w:lineRule="auto"/>
              <w:ind w:right="175"/>
              <w:jc w:val="center"/>
              <w:textAlignment w:val="baseline"/>
              <w:rPr>
                <w:rFonts w:hint="eastAsia" w:ascii="宋体" w:hAnsi="宋体" w:eastAsia="宋体" w:cs="宋体"/>
                <w:snapToGrid w:val="0"/>
                <w:color w:val="000000"/>
                <w:kern w:val="0"/>
                <w:sz w:val="19"/>
                <w:szCs w:val="19"/>
                <w:highlight w:val="none"/>
                <w:lang w:eastAsia="zh-CN"/>
              </w:rPr>
            </w:pPr>
            <w:r>
              <w:rPr>
                <w:rFonts w:hint="eastAsia" w:ascii="宋体" w:hAnsi="宋体" w:cs="宋体"/>
                <w:snapToGrid w:val="0"/>
                <w:color w:val="000000"/>
                <w:kern w:val="0"/>
                <w:sz w:val="19"/>
                <w:szCs w:val="19"/>
                <w:highlight w:val="none"/>
              </w:rPr>
              <w:t xml:space="preserve"> </w:t>
            </w:r>
            <w:r>
              <w:rPr>
                <w:rFonts w:hint="eastAsia" w:ascii="宋体" w:hAnsi="宋体" w:cs="宋体"/>
                <w:snapToGrid w:val="0"/>
                <w:color w:val="000000"/>
                <w:kern w:val="0"/>
                <w:sz w:val="19"/>
                <w:szCs w:val="19"/>
                <w:highlight w:val="none"/>
                <w:lang w:eastAsia="zh-CN"/>
              </w:rPr>
              <w:t>附房室内铜芯线</w:t>
            </w:r>
          </w:p>
        </w:tc>
        <w:tc>
          <w:tcPr>
            <w:tcW w:w="1115" w:type="dxa"/>
          </w:tcPr>
          <w:p w14:paraId="146105BC">
            <w:pPr>
              <w:pStyle w:val="39"/>
              <w:rPr>
                <w:highlight w:val="none"/>
              </w:rPr>
            </w:pPr>
          </w:p>
        </w:tc>
        <w:tc>
          <w:tcPr>
            <w:tcW w:w="851" w:type="dxa"/>
          </w:tcPr>
          <w:p w14:paraId="29982258">
            <w:pPr>
              <w:pStyle w:val="39"/>
              <w:rPr>
                <w:highlight w:val="none"/>
              </w:rPr>
            </w:pPr>
          </w:p>
        </w:tc>
        <w:tc>
          <w:tcPr>
            <w:tcW w:w="991" w:type="dxa"/>
          </w:tcPr>
          <w:p w14:paraId="2FFCE19F">
            <w:pPr>
              <w:widowControl/>
              <w:kinsoku w:val="0"/>
              <w:autoSpaceDE w:val="0"/>
              <w:autoSpaceDN w:val="0"/>
              <w:adjustRightInd w:val="0"/>
              <w:snapToGrid w:val="0"/>
              <w:spacing w:before="246" w:line="190" w:lineRule="auto"/>
              <w:ind w:left="465"/>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kern w:val="0"/>
                <w:sz w:val="19"/>
                <w:szCs w:val="19"/>
                <w:highlight w:val="none"/>
                <w:lang w:eastAsia="en-US"/>
              </w:rPr>
              <w:t>1</w:t>
            </w:r>
          </w:p>
        </w:tc>
        <w:tc>
          <w:tcPr>
            <w:tcW w:w="851" w:type="dxa"/>
          </w:tcPr>
          <w:p w14:paraId="6C667EDC">
            <w:pPr>
              <w:widowControl/>
              <w:kinsoku w:val="0"/>
              <w:autoSpaceDE w:val="0"/>
              <w:autoSpaceDN w:val="0"/>
              <w:adjustRightInd w:val="0"/>
              <w:snapToGrid w:val="0"/>
              <w:spacing w:before="215" w:line="228" w:lineRule="auto"/>
              <w:ind w:left="334"/>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kern w:val="0"/>
                <w:sz w:val="19"/>
                <w:szCs w:val="19"/>
                <w:highlight w:val="none"/>
                <w:lang w:eastAsia="en-US"/>
              </w:rPr>
              <w:t>项</w:t>
            </w:r>
          </w:p>
        </w:tc>
        <w:tc>
          <w:tcPr>
            <w:tcW w:w="1216" w:type="dxa"/>
          </w:tcPr>
          <w:p w14:paraId="6F174FB7">
            <w:pPr>
              <w:widowControl/>
              <w:kinsoku w:val="0"/>
              <w:autoSpaceDE w:val="0"/>
              <w:autoSpaceDN w:val="0"/>
              <w:adjustRightInd w:val="0"/>
              <w:snapToGrid w:val="0"/>
              <w:spacing w:before="250" w:line="195" w:lineRule="auto"/>
              <w:ind w:left="415"/>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spacing w:val="2"/>
                <w:kern w:val="0"/>
                <w:sz w:val="19"/>
                <w:szCs w:val="19"/>
                <w:highlight w:val="none"/>
                <w:lang w:eastAsia="en-US"/>
              </w:rPr>
              <w:t>5000</w:t>
            </w:r>
          </w:p>
        </w:tc>
        <w:tc>
          <w:tcPr>
            <w:tcW w:w="1279" w:type="dxa"/>
          </w:tcPr>
          <w:p w14:paraId="7164120C">
            <w:pPr>
              <w:widowControl/>
              <w:kinsoku w:val="0"/>
              <w:autoSpaceDE w:val="0"/>
              <w:autoSpaceDN w:val="0"/>
              <w:adjustRightInd w:val="0"/>
              <w:snapToGrid w:val="0"/>
              <w:spacing w:before="250" w:line="195" w:lineRule="auto"/>
              <w:ind w:left="447"/>
              <w:jc w:val="left"/>
              <w:textAlignment w:val="baseline"/>
              <w:rPr>
                <w:rFonts w:eastAsia="Times New Roman"/>
                <w:snapToGrid w:val="0"/>
                <w:color w:val="000000"/>
                <w:kern w:val="0"/>
                <w:sz w:val="19"/>
                <w:szCs w:val="19"/>
                <w:highlight w:val="none"/>
                <w:lang w:eastAsia="en-US"/>
              </w:rPr>
            </w:pPr>
            <w:r>
              <w:rPr>
                <w:rFonts w:eastAsia="Times New Roman"/>
                <w:snapToGrid w:val="0"/>
                <w:color w:val="000000"/>
                <w:spacing w:val="2"/>
                <w:kern w:val="0"/>
                <w:sz w:val="19"/>
                <w:szCs w:val="19"/>
                <w:highlight w:val="none"/>
                <w:lang w:eastAsia="en-US"/>
              </w:rPr>
              <w:t>5000</w:t>
            </w:r>
          </w:p>
        </w:tc>
        <w:tc>
          <w:tcPr>
            <w:tcW w:w="556" w:type="dxa"/>
          </w:tcPr>
          <w:p w14:paraId="093B83BB">
            <w:pPr>
              <w:pStyle w:val="39"/>
              <w:rPr>
                <w:highlight w:val="none"/>
              </w:rPr>
            </w:pPr>
          </w:p>
        </w:tc>
      </w:tr>
      <w:tr w14:paraId="471E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465" w:type="dxa"/>
            <w:vMerge w:val="continue"/>
            <w:tcBorders>
              <w:top w:val="nil"/>
            </w:tcBorders>
            <w:textDirection w:val="tbRlV"/>
          </w:tcPr>
          <w:p w14:paraId="32C10995">
            <w:pPr>
              <w:pStyle w:val="39"/>
              <w:rPr>
                <w:highlight w:val="none"/>
              </w:rPr>
            </w:pPr>
          </w:p>
        </w:tc>
        <w:tc>
          <w:tcPr>
            <w:tcW w:w="2953" w:type="dxa"/>
            <w:gridSpan w:val="3"/>
          </w:tcPr>
          <w:p w14:paraId="636C0C8C">
            <w:pPr>
              <w:widowControl/>
              <w:kinsoku w:val="0"/>
              <w:autoSpaceDE w:val="0"/>
              <w:autoSpaceDN w:val="0"/>
              <w:adjustRightInd w:val="0"/>
              <w:snapToGrid w:val="0"/>
              <w:spacing w:before="266" w:line="230" w:lineRule="auto"/>
              <w:ind w:firstLine="594" w:firstLineChars="300"/>
              <w:jc w:val="left"/>
              <w:textAlignment w:val="baseline"/>
              <w:rPr>
                <w:rFonts w:hint="eastAsia" w:ascii="宋体" w:hAnsi="宋体" w:cs="宋体"/>
                <w:snapToGrid w:val="0"/>
                <w:color w:val="000000"/>
                <w:kern w:val="0"/>
                <w:sz w:val="19"/>
                <w:szCs w:val="19"/>
                <w:highlight w:val="none"/>
                <w:lang w:eastAsia="en-US"/>
              </w:rPr>
            </w:pPr>
            <w:r>
              <w:rPr>
                <w:rFonts w:ascii="宋体" w:hAnsi="宋体" w:cs="宋体"/>
                <w:snapToGrid w:val="0"/>
                <w:color w:val="000000"/>
                <w:spacing w:val="4"/>
                <w:kern w:val="0"/>
                <w:sz w:val="19"/>
                <w:szCs w:val="19"/>
                <w:highlight w:val="none"/>
                <w:lang w:eastAsia="en-US"/>
              </w:rPr>
              <w:t>合计</w:t>
            </w:r>
            <w:r>
              <w:rPr>
                <w:rFonts w:hint="eastAsia" w:ascii="宋体" w:hAnsi="宋体" w:cs="宋体"/>
                <w:snapToGrid w:val="0"/>
                <w:color w:val="000000"/>
                <w:spacing w:val="4"/>
                <w:kern w:val="0"/>
                <w:sz w:val="19"/>
                <w:szCs w:val="19"/>
                <w:highlight w:val="none"/>
              </w:rPr>
              <w:t>（招标控制价）</w:t>
            </w:r>
          </w:p>
        </w:tc>
        <w:tc>
          <w:tcPr>
            <w:tcW w:w="851" w:type="dxa"/>
          </w:tcPr>
          <w:p w14:paraId="287EEF1C">
            <w:pPr>
              <w:pStyle w:val="39"/>
              <w:rPr>
                <w:highlight w:val="none"/>
              </w:rPr>
            </w:pPr>
          </w:p>
        </w:tc>
        <w:tc>
          <w:tcPr>
            <w:tcW w:w="991" w:type="dxa"/>
          </w:tcPr>
          <w:p w14:paraId="1BC98C09">
            <w:pPr>
              <w:pStyle w:val="39"/>
              <w:rPr>
                <w:highlight w:val="none"/>
              </w:rPr>
            </w:pPr>
          </w:p>
        </w:tc>
        <w:tc>
          <w:tcPr>
            <w:tcW w:w="851" w:type="dxa"/>
          </w:tcPr>
          <w:p w14:paraId="120D26DC">
            <w:pPr>
              <w:pStyle w:val="39"/>
              <w:rPr>
                <w:highlight w:val="none"/>
              </w:rPr>
            </w:pPr>
          </w:p>
        </w:tc>
        <w:tc>
          <w:tcPr>
            <w:tcW w:w="1216" w:type="dxa"/>
          </w:tcPr>
          <w:p w14:paraId="2F4C0452">
            <w:pPr>
              <w:pStyle w:val="39"/>
              <w:rPr>
                <w:highlight w:val="none"/>
              </w:rPr>
            </w:pPr>
          </w:p>
        </w:tc>
        <w:tc>
          <w:tcPr>
            <w:tcW w:w="1279" w:type="dxa"/>
          </w:tcPr>
          <w:p w14:paraId="325D2D8D">
            <w:pPr>
              <w:pStyle w:val="39"/>
              <w:spacing w:line="245" w:lineRule="auto"/>
              <w:rPr>
                <w:highlight w:val="none"/>
              </w:rPr>
            </w:pPr>
          </w:p>
          <w:p w14:paraId="2C658866">
            <w:pPr>
              <w:widowControl/>
              <w:kinsoku w:val="0"/>
              <w:autoSpaceDE w:val="0"/>
              <w:autoSpaceDN w:val="0"/>
              <w:adjustRightInd w:val="0"/>
              <w:snapToGrid w:val="0"/>
              <w:spacing w:before="55" w:line="195" w:lineRule="auto"/>
              <w:ind w:left="362"/>
              <w:jc w:val="left"/>
              <w:textAlignment w:val="baseline"/>
              <w:rPr>
                <w:rFonts w:hint="eastAsia" w:eastAsia="宋体"/>
                <w:snapToGrid w:val="0"/>
                <w:color w:val="000000"/>
                <w:kern w:val="0"/>
                <w:sz w:val="19"/>
                <w:szCs w:val="19"/>
                <w:highlight w:val="none"/>
                <w:lang w:eastAsia="zh-CN"/>
              </w:rPr>
            </w:pPr>
            <w:r>
              <w:rPr>
                <w:rFonts w:hint="eastAsia"/>
                <w:snapToGrid w:val="0"/>
                <w:color w:val="000000"/>
                <w:spacing w:val="1"/>
                <w:kern w:val="0"/>
                <w:sz w:val="19"/>
                <w:szCs w:val="19"/>
                <w:highlight w:val="none"/>
                <w:lang w:eastAsia="zh-CN"/>
              </w:rPr>
              <w:t>174497</w:t>
            </w:r>
          </w:p>
        </w:tc>
        <w:tc>
          <w:tcPr>
            <w:tcW w:w="556" w:type="dxa"/>
          </w:tcPr>
          <w:p w14:paraId="15D1E662">
            <w:pPr>
              <w:pStyle w:val="39"/>
              <w:rPr>
                <w:highlight w:val="none"/>
              </w:rPr>
            </w:pPr>
          </w:p>
        </w:tc>
      </w:tr>
    </w:tbl>
    <w:p w14:paraId="4B90796F">
      <w:pPr>
        <w:pStyle w:val="15"/>
        <w:spacing w:line="400" w:lineRule="exact"/>
        <w:ind w:firstLine="482"/>
        <w:rPr>
          <w:rFonts w:hint="eastAsia" w:ascii="宋体" w:hAnsi="宋体" w:cs="宋体"/>
          <w:b/>
          <w:bCs/>
          <w:sz w:val="24"/>
          <w:szCs w:val="24"/>
          <w:highlight w:val="none"/>
        </w:rPr>
      </w:pPr>
      <w:r>
        <w:rPr>
          <w:rFonts w:hint="eastAsia" w:ascii="宋体" w:hAnsi="宋体" w:eastAsia="宋体" w:cs="宋体"/>
          <w:b/>
          <w:bCs/>
          <w:sz w:val="24"/>
          <w:szCs w:val="24"/>
          <w:highlight w:val="none"/>
        </w:rPr>
        <w:t>说明：各投标单位书面投标文件中的单价和投标</w:t>
      </w:r>
      <w:r>
        <w:rPr>
          <w:rFonts w:hint="eastAsia" w:ascii="宋体" w:hAnsi="宋体" w:cs="宋体"/>
          <w:b/>
          <w:bCs/>
          <w:sz w:val="24"/>
          <w:szCs w:val="24"/>
          <w:highlight w:val="none"/>
        </w:rPr>
        <w:t>总</w:t>
      </w:r>
      <w:r>
        <w:rPr>
          <w:rFonts w:hint="eastAsia" w:ascii="宋体" w:hAnsi="宋体" w:eastAsia="宋体" w:cs="宋体"/>
          <w:b/>
          <w:bCs/>
          <w:sz w:val="24"/>
          <w:szCs w:val="24"/>
          <w:highlight w:val="none"/>
        </w:rPr>
        <w:t>价均高于（不含等于）招标控制价的为有效报价，否则视为无效报价，作废标处理。</w:t>
      </w:r>
      <w:r>
        <w:rPr>
          <w:rFonts w:hint="eastAsia" w:hAnsi="宋体"/>
          <w:b/>
          <w:color w:val="FF0000"/>
          <w:highlight w:val="none"/>
        </w:rPr>
        <w:t>（注：投标报价若有小数须保留两位小数。）</w:t>
      </w:r>
    </w:p>
    <w:p w14:paraId="1C9EC21C">
      <w:pPr>
        <w:pStyle w:val="30"/>
        <w:shd w:val="clear" w:color="auto" w:fill="FFFFFF"/>
        <w:spacing w:before="0" w:beforeAutospacing="0" w:after="0" w:afterAutospacing="0" w:line="400" w:lineRule="exact"/>
        <w:ind w:firstLine="482" w:firstLineChars="200"/>
        <w:rPr>
          <w:rFonts w:hint="eastAsia"/>
          <w:b/>
          <w:highlight w:val="none"/>
        </w:rPr>
      </w:pPr>
      <w:r>
        <w:rPr>
          <w:rFonts w:hint="eastAsia"/>
          <w:b/>
          <w:highlight w:val="none"/>
        </w:rPr>
        <w:t>三、合同履行期限</w:t>
      </w:r>
    </w:p>
    <w:p w14:paraId="2F45E3D7">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合同签订后30日历天内完成处置交接。</w:t>
      </w:r>
    </w:p>
    <w:p w14:paraId="49F44277">
      <w:pPr>
        <w:adjustRightInd w:val="0"/>
        <w:snapToGrid w:val="0"/>
        <w:spacing w:line="400" w:lineRule="exact"/>
        <w:ind w:firstLine="482" w:firstLineChars="200"/>
        <w:rPr>
          <w:rFonts w:hint="eastAsia" w:ascii="宋体" w:hAnsi="宋体" w:cs="宋体"/>
          <w:bCs/>
          <w:kern w:val="0"/>
          <w:sz w:val="24"/>
          <w:szCs w:val="24"/>
          <w:highlight w:val="none"/>
        </w:rPr>
      </w:pPr>
      <w:r>
        <w:rPr>
          <w:rFonts w:hint="eastAsia" w:ascii="宋体" w:hAnsi="宋体" w:cs="宋体"/>
          <w:b/>
          <w:kern w:val="0"/>
          <w:sz w:val="24"/>
          <w:szCs w:val="24"/>
          <w:highlight w:val="none"/>
        </w:rPr>
        <w:t>四、处置要求</w:t>
      </w:r>
    </w:p>
    <w:p w14:paraId="48EBD837">
      <w:pPr>
        <w:pStyle w:val="40"/>
        <w:spacing w:line="400" w:lineRule="exact"/>
        <w:ind w:firstLine="480"/>
        <w:rPr>
          <w:rFonts w:hint="eastAsia" w:ascii="宋体" w:hAnsi="宋体" w:cs="宋体"/>
          <w:kern w:val="0"/>
          <w:sz w:val="24"/>
          <w:szCs w:val="24"/>
          <w:highlight w:val="none"/>
        </w:rPr>
      </w:pPr>
      <w:r>
        <w:rPr>
          <w:rFonts w:hint="eastAsia" w:ascii="宋体" w:hAnsi="宋体" w:cs="宋体"/>
          <w:bCs/>
          <w:kern w:val="0"/>
          <w:sz w:val="24"/>
          <w:szCs w:val="24"/>
          <w:highlight w:val="none"/>
        </w:rPr>
        <w:t>1、</w:t>
      </w:r>
      <w:r>
        <w:rPr>
          <w:rFonts w:hint="eastAsia" w:ascii="宋体" w:hAnsi="宋体" w:cs="宋体"/>
          <w:kern w:val="0"/>
          <w:sz w:val="24"/>
          <w:szCs w:val="24"/>
          <w:highlight w:val="none"/>
        </w:rPr>
        <w:t>中标单位承担装运等处置工作的安全责任，工作人员必须严格遵守和服从现场安全规定及安全管理，搬运装车等所需机械等费用均由中标人自行承担。</w:t>
      </w:r>
    </w:p>
    <w:p w14:paraId="431D6D1A">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2、处置期间一切安全责任均由中标人承担，如造成招标人或第三方人身财及产损失的，中标人须承担全部赔偿责任。</w:t>
      </w:r>
    </w:p>
    <w:p w14:paraId="4EEA7E34">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3、中标单位承担切割、装运等处置工作的安全责任，工作人员必须严格遵守和服从现场安全规定及安全管理，在处置现场必须做到:</w:t>
      </w:r>
    </w:p>
    <w:p w14:paraId="32F310F5">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(一) 班前、班中不得喝酒、赌博，在禁止吸烟的区域不得吸烟;</w:t>
      </w:r>
    </w:p>
    <w:p w14:paraId="7674C959">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(二) 现场内不得赤脚，不得穿拖鞋、高跟鞋，不得穿皮鞋和带钉易滑鞋;</w:t>
      </w:r>
    </w:p>
    <w:p w14:paraId="02BA6AE5">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(三) 未经招标人批准，不得随便拆除已架设的安全防护设施及安全装置和安全标牌;</w:t>
      </w:r>
    </w:p>
    <w:p w14:paraId="77C70CDE">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(四) 不得私自乱接乱拉电线，保护工地上临时用电电缆及配电箱的完好，不得用材料、工具等压砸电缆电线，确保用电安全;</w:t>
      </w:r>
    </w:p>
    <w:p w14:paraId="1D10B757">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(五) 处置现场做好消防防护工作;</w:t>
      </w:r>
    </w:p>
    <w:p w14:paraId="0F74C7B8">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(六) 使用电动工具，必须按操作规程和说明书要求正确佩戴防护用品;</w:t>
      </w:r>
    </w:p>
    <w:p w14:paraId="3637D491">
      <w:pPr>
        <w:adjustRightInd w:val="0"/>
        <w:snapToGrid w:val="0"/>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(七) 登高作业、吊装作业等处置过程必须严格遵守安全操作规程；</w:t>
      </w:r>
    </w:p>
    <w:p w14:paraId="76AC3B71">
      <w:pPr>
        <w:adjustRightInd w:val="0"/>
        <w:snapToGrid w:val="0"/>
        <w:spacing w:line="400" w:lineRule="exact"/>
        <w:ind w:firstLine="480" w:firstLineChars="200"/>
        <w:rPr>
          <w:sz w:val="24"/>
          <w:szCs w:val="24"/>
          <w:highlight w:val="none"/>
        </w:rPr>
      </w:pPr>
      <w:r>
        <w:rPr>
          <w:rFonts w:hint="eastAsia" w:ascii="宋体" w:hAnsi="宋体" w:cs="宋体"/>
          <w:bCs/>
          <w:kern w:val="0"/>
          <w:sz w:val="24"/>
          <w:szCs w:val="24"/>
          <w:highlight w:val="none"/>
        </w:rPr>
        <w:t>(八)本项目计量的器具、地磅等均由招标人提供或指定。</w:t>
      </w:r>
    </w:p>
    <w:p w14:paraId="69C5AB27">
      <w:pPr>
        <w:pStyle w:val="2"/>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4、中标人应严格遵守招标人现场作业安全规定，如出现违反情况，招标人有权开具罚单，罚金直接从货款中扣减。</w:t>
      </w:r>
    </w:p>
    <w:tbl>
      <w:tblPr>
        <w:tblStyle w:val="16"/>
        <w:tblW w:w="10215" w:type="dxa"/>
        <w:jc w:val="center"/>
        <w:tblLayout w:type="fixed"/>
        <w:tblCellMar>
          <w:top w:w="0" w:type="dxa"/>
          <w:left w:w="0" w:type="dxa"/>
          <w:bottom w:w="0" w:type="dxa"/>
          <w:right w:w="0" w:type="dxa"/>
        </w:tblCellMar>
      </w:tblPr>
      <w:tblGrid>
        <w:gridCol w:w="855"/>
        <w:gridCol w:w="6465"/>
        <w:gridCol w:w="1485"/>
        <w:gridCol w:w="1410"/>
      </w:tblGrid>
      <w:tr w14:paraId="03D158A4">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43005">
            <w:pPr>
              <w:widowControl/>
              <w:spacing w:line="400" w:lineRule="exact"/>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序号</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22525">
            <w:pPr>
              <w:widowControl/>
              <w:spacing w:line="400" w:lineRule="exact"/>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考核内容</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8FEED">
            <w:pPr>
              <w:widowControl/>
              <w:spacing w:line="400" w:lineRule="exact"/>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罚金标准</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B1FE3">
            <w:pPr>
              <w:widowControl/>
              <w:spacing w:line="400" w:lineRule="exact"/>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备注</w:t>
            </w:r>
          </w:p>
        </w:tc>
      </w:tr>
      <w:tr w14:paraId="60D9EF65">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B95CB">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2CA8EF9">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所有作业人员接受安全技术交底。</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93FCB">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200元/人/次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C60A2">
            <w:pPr>
              <w:spacing w:line="400" w:lineRule="exact"/>
              <w:jc w:val="center"/>
              <w:rPr>
                <w:rFonts w:hint="eastAsia" w:ascii="宋体" w:hAnsi="宋体" w:cs="宋体"/>
                <w:color w:val="000000"/>
                <w:sz w:val="24"/>
                <w:szCs w:val="24"/>
                <w:highlight w:val="none"/>
              </w:rPr>
            </w:pPr>
          </w:p>
        </w:tc>
      </w:tr>
      <w:tr w14:paraId="6A88523B">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D6604">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E69334C">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所有人员正确佩戴和使用合格的劳动防护用品。如安全帽、安全带等。</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5E5F4">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200元/人/次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40A7">
            <w:pPr>
              <w:spacing w:line="400" w:lineRule="exact"/>
              <w:jc w:val="center"/>
              <w:rPr>
                <w:rFonts w:hint="eastAsia" w:ascii="宋体" w:hAnsi="宋体" w:cs="宋体"/>
                <w:color w:val="000000"/>
                <w:sz w:val="24"/>
                <w:szCs w:val="24"/>
                <w:highlight w:val="none"/>
              </w:rPr>
            </w:pPr>
          </w:p>
        </w:tc>
      </w:tr>
      <w:tr w14:paraId="3D8939CB">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0F834">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BB61B8D">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特种作业人员及场内作业车辆操作人员持证上岗，并按相关规范标准等操作。</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A691E">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200元/人/次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4E3FA">
            <w:pPr>
              <w:spacing w:line="400" w:lineRule="exact"/>
              <w:jc w:val="center"/>
              <w:rPr>
                <w:rFonts w:hint="eastAsia" w:ascii="宋体" w:hAnsi="宋体" w:cs="宋体"/>
                <w:color w:val="000000"/>
                <w:sz w:val="24"/>
                <w:szCs w:val="24"/>
                <w:highlight w:val="none"/>
              </w:rPr>
            </w:pPr>
          </w:p>
        </w:tc>
      </w:tr>
      <w:tr w14:paraId="45FC5DCD">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00767">
            <w:pPr>
              <w:widowControl/>
              <w:spacing w:line="400" w:lineRule="exact"/>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82FCF8B">
            <w:pPr>
              <w:widowControl/>
              <w:spacing w:line="400" w:lineRule="exac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未设置安全警示标志，或安全警示标志设置不完整、不规范。</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BC4F2">
            <w:pPr>
              <w:widowControl/>
              <w:spacing w:line="400" w:lineRule="exac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200元/次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9EBA3">
            <w:pPr>
              <w:spacing w:line="400" w:lineRule="exact"/>
              <w:jc w:val="center"/>
              <w:rPr>
                <w:rFonts w:hint="eastAsia" w:ascii="宋体" w:hAnsi="宋体" w:cs="宋体"/>
                <w:color w:val="000000"/>
                <w:sz w:val="24"/>
                <w:szCs w:val="24"/>
                <w:highlight w:val="none"/>
              </w:rPr>
            </w:pPr>
          </w:p>
        </w:tc>
      </w:tr>
      <w:tr w14:paraId="76EB199A">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F2945">
            <w:pPr>
              <w:widowControl/>
              <w:spacing w:line="400" w:lineRule="exact"/>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70BB14F">
            <w:pPr>
              <w:widowControl/>
              <w:spacing w:line="400" w:lineRule="exac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现场作业车辆、设备、工器具等出现不规范或不安全操作行为。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7C3E6">
            <w:pPr>
              <w:widowControl/>
              <w:spacing w:line="400" w:lineRule="exac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200元/次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BDADE">
            <w:pPr>
              <w:spacing w:line="400" w:lineRule="exact"/>
              <w:jc w:val="center"/>
              <w:rPr>
                <w:rFonts w:hint="eastAsia" w:ascii="宋体" w:hAnsi="宋体" w:cs="宋体"/>
                <w:color w:val="000000"/>
                <w:sz w:val="24"/>
                <w:szCs w:val="24"/>
                <w:highlight w:val="none"/>
              </w:rPr>
            </w:pPr>
          </w:p>
        </w:tc>
      </w:tr>
      <w:tr w14:paraId="5448EC05">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4E70D">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C1E5C24">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现场作业人员不服从招标人管理，出现吵闹、争执，威胁、恐吓、殴打工作人员等。</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87AF2">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300元/人/次</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87096">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情节严重双倍处罚</w:t>
            </w:r>
          </w:p>
        </w:tc>
      </w:tr>
      <w:tr w14:paraId="1C2ECFD3">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BCC0A">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0A7CFF5">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现场作业出现安全事故（无人员伤亡）。</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E7C47">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500元/次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43F3E">
            <w:pPr>
              <w:spacing w:line="400" w:lineRule="exact"/>
              <w:jc w:val="center"/>
              <w:rPr>
                <w:rFonts w:hint="eastAsia" w:ascii="宋体" w:hAnsi="宋体" w:cs="宋体"/>
                <w:color w:val="000000"/>
                <w:sz w:val="24"/>
                <w:szCs w:val="24"/>
                <w:highlight w:val="none"/>
              </w:rPr>
            </w:pPr>
          </w:p>
        </w:tc>
      </w:tr>
      <w:tr w14:paraId="2E9AD474">
        <w:tblPrEx>
          <w:tblCellMar>
            <w:top w:w="0" w:type="dxa"/>
            <w:left w:w="0" w:type="dxa"/>
            <w:bottom w:w="0" w:type="dxa"/>
            <w:right w:w="0"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FAB83">
            <w:pPr>
              <w:widowControl/>
              <w:spacing w:line="400" w:lineRule="exact"/>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6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1E0BC4">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现场作业人员出现人身意外伤害事故。</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083E6">
            <w:pPr>
              <w:widowControl/>
              <w:spacing w:line="400" w:lineRule="exac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1000元/人/次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BC519">
            <w:pPr>
              <w:spacing w:line="400" w:lineRule="exact"/>
              <w:jc w:val="center"/>
              <w:rPr>
                <w:rFonts w:hint="eastAsia" w:ascii="宋体" w:hAnsi="宋体" w:cs="宋体"/>
                <w:color w:val="000000"/>
                <w:sz w:val="24"/>
                <w:szCs w:val="24"/>
                <w:highlight w:val="none"/>
              </w:rPr>
            </w:pPr>
          </w:p>
        </w:tc>
      </w:tr>
    </w:tbl>
    <w:p w14:paraId="2EEAC672">
      <w:pPr>
        <w:adjustRightInd w:val="0"/>
        <w:snapToGrid w:val="0"/>
        <w:spacing w:line="400" w:lineRule="exact"/>
        <w:ind w:firstLine="482" w:firstLineChars="200"/>
        <w:rPr>
          <w:rFonts w:hint="eastAsia" w:ascii="宋体" w:hAnsi="宋体" w:cs="宋体"/>
          <w:b/>
          <w:kern w:val="0"/>
          <w:sz w:val="24"/>
          <w:szCs w:val="24"/>
          <w:highlight w:val="none"/>
        </w:rPr>
      </w:pPr>
      <w:r>
        <w:rPr>
          <w:rFonts w:hint="eastAsia" w:ascii="宋体" w:hAnsi="宋体" w:cs="宋体"/>
          <w:b/>
          <w:kern w:val="0"/>
          <w:sz w:val="24"/>
          <w:szCs w:val="24"/>
          <w:highlight w:val="none"/>
        </w:rPr>
        <w:t>五、相关费用</w:t>
      </w:r>
    </w:p>
    <w:p w14:paraId="25DB231F">
      <w:pPr>
        <w:spacing w:line="400" w:lineRule="exact"/>
        <w:rPr>
          <w:rFonts w:hint="eastAsia" w:ascii="宋体" w:hAnsi="宋体" w:cs="宋体"/>
          <w:kern w:val="28"/>
          <w:sz w:val="24"/>
          <w:szCs w:val="24"/>
          <w:highlight w:val="none"/>
        </w:rPr>
      </w:pPr>
      <w:r>
        <w:rPr>
          <w:rFonts w:hint="eastAsia" w:ascii="宋体" w:hAnsi="宋体" w:cs="宋体"/>
          <w:kern w:val="28"/>
          <w:sz w:val="24"/>
          <w:szCs w:val="24"/>
          <w:highlight w:val="none"/>
        </w:rPr>
        <w:t>中标人需自行承担的费用包括但不限完成本项目标的物购置费、人工、搬运、运输、切割、吊装、测量、</w:t>
      </w:r>
      <w:r>
        <w:rPr>
          <w:rFonts w:hint="eastAsia" w:ascii="宋体" w:hAnsi="宋体" w:cs="仿宋_GB2312"/>
          <w:kern w:val="0"/>
          <w:sz w:val="24"/>
          <w:highlight w:val="none"/>
        </w:rPr>
        <w:t>差旅费、</w:t>
      </w:r>
      <w:r>
        <w:rPr>
          <w:rFonts w:hint="eastAsia" w:ascii="宋体" w:hAnsi="宋体" w:cs="宋体"/>
          <w:kern w:val="28"/>
          <w:sz w:val="24"/>
          <w:szCs w:val="24"/>
          <w:highlight w:val="none"/>
        </w:rPr>
        <w:t>保险、劳保、利润、税金、</w:t>
      </w:r>
      <w:r>
        <w:rPr>
          <w:rFonts w:hint="eastAsia" w:ascii="宋体" w:hAnsi="宋体" w:cs="宋体"/>
          <w:kern w:val="28"/>
          <w:sz w:val="24"/>
          <w:szCs w:val="24"/>
          <w:highlight w:val="none"/>
          <w:lang w:val="en-US" w:eastAsia="zh-CN"/>
        </w:rPr>
        <w:t>报名费、专家评审</w:t>
      </w:r>
      <w:r>
        <w:rPr>
          <w:rFonts w:hint="eastAsia" w:ascii="宋体" w:hAnsi="宋体" w:cs="宋体"/>
          <w:kern w:val="28"/>
          <w:sz w:val="24"/>
          <w:szCs w:val="24"/>
          <w:highlight w:val="none"/>
        </w:rPr>
        <w:t>费、政策性文件规定及合同包含的所有风险、责任等各项应有费用，即响应本项目的所有应有费用。除双方另有约定外，招标人无须承担其他任何费用。</w:t>
      </w:r>
    </w:p>
    <w:p w14:paraId="0C1FD167">
      <w:pPr>
        <w:spacing w:line="400" w:lineRule="exact"/>
        <w:ind w:firstLine="482" w:firstLineChars="200"/>
        <w:rPr>
          <w:rFonts w:hint="eastAsia" w:ascii="宋体" w:hAnsi="宋体" w:cs="宋体"/>
          <w:b/>
          <w:kern w:val="28"/>
          <w:sz w:val="24"/>
          <w:szCs w:val="24"/>
          <w:highlight w:val="none"/>
        </w:rPr>
      </w:pPr>
      <w:r>
        <w:rPr>
          <w:rFonts w:hint="eastAsia" w:ascii="宋体" w:hAnsi="宋体" w:cs="宋体"/>
          <w:b/>
          <w:kern w:val="28"/>
          <w:sz w:val="24"/>
          <w:szCs w:val="24"/>
          <w:highlight w:val="none"/>
        </w:rPr>
        <w:t>六、项目内容</w:t>
      </w:r>
    </w:p>
    <w:p w14:paraId="1370EA6B">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1.洋口港建筑新材料产业园标准厂房一期南侧临时用房拆除处置，拆除处置活动板房 96 间（含电缆），要求恢复原状（仅保留固化地面）。所有残值处置必须符合国家法律法规，合法处置。</w:t>
      </w:r>
    </w:p>
    <w:p w14:paraId="4BF5AC83">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承包方式：施工总承包（包拆包运），不允许分包。招标人指定的建筑物（含砼基础和构筑物），拆除物残值由中标人处置，不得在现场处置，必须全部拉走处置。拆除完成后要清除地面以上的一切拆除旧材料、垃圾并全部外运、保证场地平整、无废弃物。同时保护好现场道路、地下管线、树木、周边建筑物等。</w:t>
      </w:r>
    </w:p>
    <w:p w14:paraId="6277DA4A">
      <w:pPr>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3.投标报价是指投标单位支付给招标人的价款。投标单位现场自行踏勘（对机械设备进、出场、房屋现状、拆除难易程度、垃圾运送交通等）、估价、报价。投标报价一次性报总价（并且包含拆除后的垃圾清运、平整费用等一切费用）。</w:t>
      </w:r>
    </w:p>
    <w:p w14:paraId="45F54FF1">
      <w:pPr>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4、拆除运输时如损伤道路、渠闸、排水道、地下管线、树木、周边建筑物构筑物等由中标人负责，所有的修复费用或赔偿费用由中标人承担。</w:t>
      </w:r>
    </w:p>
    <w:p w14:paraId="46C6F500">
      <w:pPr>
        <w:spacing w:line="400" w:lineRule="exact"/>
        <w:ind w:firstLine="480" w:firstLineChars="200"/>
        <w:rPr>
          <w:rFonts w:hint="eastAsia" w:ascii="宋体" w:hAnsi="宋体" w:cs="宋体"/>
          <w:b/>
          <w:bCs/>
          <w:kern w:val="0"/>
          <w:sz w:val="24"/>
          <w:szCs w:val="24"/>
          <w:highlight w:val="none"/>
        </w:rPr>
      </w:pPr>
      <w:r>
        <w:rPr>
          <w:rFonts w:hint="eastAsia" w:ascii="宋体" w:hAnsi="宋体" w:cs="宋体"/>
          <w:bCs/>
          <w:kern w:val="0"/>
          <w:sz w:val="24"/>
          <w:szCs w:val="24"/>
          <w:highlight w:val="none"/>
        </w:rPr>
        <w:t>5、建、构筑物拆除后材料的处理及拆除涉及的人员工资、机械使用费等相关费用均由中标人负责。中标人施工时要确保施工安全，如施工过程中发生人身伤亡事故或其他事故，涉及到安全或质量问题由中标人全权负责。拆除现场要有相关的安全措施（标语、横幅、围挡等），严防不相干人员的随意进出，确保拆除工作安全进行。</w:t>
      </w:r>
    </w:p>
    <w:p w14:paraId="29A77BA0">
      <w:pPr>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6、中标单位拆除时，必须按照招标人发出的“拆除通知书”中所指定的房屋进行拆除。招标人没有书面指定的不得拆除，如果中标单位拆除错误，中标单位负全责。</w:t>
      </w:r>
    </w:p>
    <w:p w14:paraId="54E02912">
      <w:pPr>
        <w:spacing w:line="400" w:lineRule="exact"/>
        <w:ind w:firstLine="482" w:firstLineChars="200"/>
        <w:rPr>
          <w:rFonts w:hint="eastAsia" w:ascii="宋体" w:hAnsi="宋体" w:cs="宋体"/>
          <w:b/>
          <w:kern w:val="0"/>
          <w:sz w:val="24"/>
          <w:szCs w:val="24"/>
          <w:highlight w:val="none"/>
        </w:rPr>
      </w:pPr>
      <w:r>
        <w:rPr>
          <w:rFonts w:hint="eastAsia" w:ascii="宋体" w:hAnsi="宋体" w:cs="宋体"/>
          <w:b/>
          <w:bCs/>
          <w:sz w:val="24"/>
          <w:szCs w:val="24"/>
          <w:highlight w:val="none"/>
        </w:rPr>
        <w:t>七、</w:t>
      </w:r>
      <w:r>
        <w:rPr>
          <w:rFonts w:hint="eastAsia" w:ascii="宋体" w:hAnsi="宋体" w:cs="宋体"/>
          <w:b/>
          <w:kern w:val="0"/>
          <w:sz w:val="24"/>
          <w:szCs w:val="24"/>
          <w:highlight w:val="none"/>
        </w:rPr>
        <w:t>项目质量保证及售后服务要求</w:t>
      </w:r>
    </w:p>
    <w:p w14:paraId="1EB02C8E">
      <w:pPr>
        <w:spacing w:line="400" w:lineRule="exact"/>
        <w:ind w:firstLine="482" w:firstLineChars="200"/>
        <w:rPr>
          <w:rFonts w:hint="eastAsia" w:ascii="宋体" w:hAnsi="宋体" w:cs="宋体"/>
          <w:bCs/>
          <w:kern w:val="0"/>
          <w:sz w:val="24"/>
          <w:szCs w:val="24"/>
          <w:highlight w:val="none"/>
        </w:rPr>
      </w:pPr>
      <w:r>
        <w:rPr>
          <w:rFonts w:hint="eastAsia" w:ascii="宋体" w:hAnsi="宋体" w:cs="宋体"/>
          <w:b/>
          <w:kern w:val="0"/>
          <w:sz w:val="24"/>
          <w:szCs w:val="24"/>
          <w:highlight w:val="none"/>
        </w:rPr>
        <w:t>①工程质量：</w:t>
      </w:r>
      <w:bookmarkStart w:id="3" w:name="_Hlk80126484"/>
      <w:r>
        <w:rPr>
          <w:rFonts w:hint="eastAsia" w:ascii="宋体" w:hAnsi="宋体" w:cs="宋体"/>
          <w:bCs/>
          <w:kern w:val="0"/>
          <w:sz w:val="24"/>
          <w:szCs w:val="24"/>
          <w:highlight w:val="none"/>
        </w:rPr>
        <w:t>指定的拆除建筑物（含砼基础和构筑物），拆除完成后要清除地面以上的一切拆除旧材料、垃圾并全部外运、保证场地平整、无废弃物。同时保护好现场道路和周边建筑物等。</w:t>
      </w:r>
    </w:p>
    <w:bookmarkEnd w:id="3"/>
    <w:p w14:paraId="6111272C">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②中标人在施工中必须做到项目负责人、安全员全程现场管理。</w:t>
      </w:r>
    </w:p>
    <w:p w14:paraId="51906C1F">
      <w:pPr>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③中标单位负责看护拆除项目用地，杜绝种植、养殖、违章搭建等，直至招标人收回地块。</w:t>
      </w:r>
    </w:p>
    <w:p w14:paraId="17E852FC">
      <w:pPr>
        <w:spacing w:line="40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八、</w:t>
      </w:r>
      <w:r>
        <w:rPr>
          <w:rFonts w:hint="eastAsia" w:ascii="宋体" w:hAnsi="宋体" w:cs="宋体"/>
          <w:b/>
          <w:bCs/>
          <w:sz w:val="24"/>
          <w:szCs w:val="24"/>
          <w:highlight w:val="none"/>
        </w:rPr>
        <w:t>工期要求：拆除处置必须在30日历天内完成（含拆除、垃圾清运、处置等一切内容）。</w:t>
      </w:r>
    </w:p>
    <w:p w14:paraId="22F119D4">
      <w:pPr>
        <w:spacing w:line="400" w:lineRule="exact"/>
        <w:ind w:firstLine="482" w:firstLineChars="200"/>
        <w:rPr>
          <w:rFonts w:hint="eastAsia" w:ascii="宋体" w:hAnsi="宋体" w:cs="宋体"/>
          <w:kern w:val="0"/>
          <w:sz w:val="24"/>
          <w:szCs w:val="24"/>
          <w:highlight w:val="none"/>
        </w:rPr>
      </w:pPr>
      <w:r>
        <w:rPr>
          <w:rFonts w:hint="eastAsia" w:ascii="宋体" w:hAnsi="宋体" w:cs="宋体"/>
          <w:b/>
          <w:bCs/>
          <w:kern w:val="0"/>
          <w:sz w:val="24"/>
          <w:szCs w:val="24"/>
          <w:highlight w:val="none"/>
        </w:rPr>
        <w:t>九、付款条件：</w:t>
      </w:r>
      <w:r>
        <w:rPr>
          <w:rFonts w:hint="eastAsia" w:ascii="宋体" w:hAnsi="宋体" w:cs="宋体"/>
          <w:kern w:val="0"/>
          <w:sz w:val="24"/>
          <w:szCs w:val="24"/>
          <w:highlight w:val="none"/>
        </w:rPr>
        <w:t>签订合同后三日内中标单位按中标总价一次性支付至招标人指定账户，招标人确定到账后方可处置。</w:t>
      </w:r>
    </w:p>
    <w:p w14:paraId="580F9C99">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注:招标人可开具13%增值税专用发票。</w:t>
      </w:r>
    </w:p>
    <w:p w14:paraId="14126AF9">
      <w:pPr>
        <w:widowControl/>
        <w:spacing w:line="400" w:lineRule="exact"/>
        <w:ind w:firstLine="482" w:firstLineChars="200"/>
        <w:rPr>
          <w:rFonts w:ascii="宋体" w:cs="宋体"/>
          <w:bCs/>
          <w:kern w:val="28"/>
          <w:sz w:val="24"/>
          <w:szCs w:val="24"/>
          <w:highlight w:val="none"/>
        </w:rPr>
      </w:pPr>
      <w:r>
        <w:rPr>
          <w:rFonts w:hint="eastAsia" w:ascii="宋体" w:cs="宋体"/>
          <w:b/>
          <w:kern w:val="28"/>
          <w:sz w:val="24"/>
          <w:szCs w:val="24"/>
          <w:highlight w:val="none"/>
        </w:rPr>
        <w:t>十、验收标准：</w:t>
      </w:r>
      <w:r>
        <w:rPr>
          <w:rFonts w:hint="eastAsia" w:ascii="宋体" w:cs="宋体"/>
          <w:bCs/>
          <w:kern w:val="28"/>
          <w:sz w:val="24"/>
          <w:szCs w:val="24"/>
          <w:highlight w:val="none"/>
        </w:rPr>
        <w:t>指定的拆除建筑物（含砼基础和构筑物），拆除完成后要清除地面以上的一切拆除旧材料、垃圾并全部外运、保证场地平整、无废弃物。同时保护好现场道路和周边建筑物等。</w:t>
      </w:r>
    </w:p>
    <w:p w14:paraId="61635609">
      <w:pPr>
        <w:pStyle w:val="3"/>
        <w:spacing w:line="400" w:lineRule="exact"/>
        <w:ind w:firstLine="482" w:firstLineChars="200"/>
        <w:rPr>
          <w:b/>
          <w:bCs/>
          <w:highlight w:val="none"/>
        </w:rPr>
      </w:pPr>
      <w:r>
        <w:rPr>
          <w:rFonts w:hint="eastAsia"/>
          <w:b/>
          <w:bCs/>
          <w:highlight w:val="none"/>
        </w:rPr>
        <w:t>十一、其他要求</w:t>
      </w:r>
    </w:p>
    <w:p w14:paraId="1498FC1D">
      <w:pPr>
        <w:pStyle w:val="3"/>
        <w:spacing w:line="400" w:lineRule="exact"/>
        <w:ind w:firstLine="482" w:firstLineChars="200"/>
        <w:rPr>
          <w:b/>
          <w:bCs/>
          <w:highlight w:val="none"/>
        </w:rPr>
      </w:pPr>
      <w:r>
        <w:rPr>
          <w:rFonts w:hint="eastAsia"/>
          <w:b/>
          <w:bCs/>
          <w:highlight w:val="none"/>
        </w:rPr>
        <w:t>1.投标人自行勘察现场，现场勘察需提前一天预约（联 系 人：顾兴兴，联系方式：15358789488），费用自理，后期不得以任何理由提出减少支出费用的要求。</w:t>
      </w:r>
    </w:p>
    <w:p w14:paraId="36A7CF09">
      <w:pPr>
        <w:spacing w:line="44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第二章   投标须知</w:t>
      </w:r>
    </w:p>
    <w:p w14:paraId="02243D53">
      <w:pPr>
        <w:spacing w:line="400" w:lineRule="exact"/>
        <w:rPr>
          <w:rFonts w:hint="eastAsia" w:ascii="宋体" w:hAnsi="宋体" w:cs="宋体"/>
          <w:b/>
          <w:sz w:val="24"/>
          <w:highlight w:val="none"/>
        </w:rPr>
      </w:pPr>
      <w:r>
        <w:rPr>
          <w:rFonts w:hint="eastAsia" w:ascii="宋体" w:hAnsi="宋体" w:cs="宋体"/>
          <w:b/>
          <w:sz w:val="24"/>
          <w:highlight w:val="none"/>
        </w:rPr>
        <w:t>一 .说明</w:t>
      </w:r>
    </w:p>
    <w:p w14:paraId="547559CB">
      <w:pPr>
        <w:pStyle w:val="26"/>
        <w:spacing w:before="0" w:beforeAutospacing="0" w:after="0" w:afterAutospacing="0" w:line="400" w:lineRule="exact"/>
        <w:ind w:firstLine="480" w:firstLineChars="200"/>
        <w:jc w:val="both"/>
        <w:rPr>
          <w:rFonts w:hint="eastAsia"/>
          <w:highlight w:val="none"/>
        </w:rPr>
      </w:pPr>
      <w:r>
        <w:rPr>
          <w:rFonts w:hint="eastAsia"/>
          <w:highlight w:val="none"/>
        </w:rPr>
        <w:t>1.本招标文件中所称的“招标人”为江苏洋口港投资开发有限公司，“投标人”为本项目的供应商，“评标委员”为本项目评标组织，“中标人”为本项目的中标人。</w:t>
      </w:r>
    </w:p>
    <w:p w14:paraId="36B4A2CB">
      <w:pPr>
        <w:pStyle w:val="26"/>
        <w:spacing w:before="0" w:beforeAutospacing="0" w:after="0" w:afterAutospacing="0" w:line="400" w:lineRule="exact"/>
        <w:ind w:firstLine="480" w:firstLineChars="200"/>
        <w:jc w:val="both"/>
        <w:rPr>
          <w:rFonts w:hint="eastAsia"/>
          <w:highlight w:val="none"/>
        </w:rPr>
      </w:pPr>
      <w:r>
        <w:rPr>
          <w:rFonts w:hint="eastAsia"/>
          <w:highlight w:val="none"/>
        </w:rPr>
        <w:t>2.本招标文件仅适用于本次公开招标，解释权归招标方所有。</w:t>
      </w:r>
    </w:p>
    <w:p w14:paraId="18EA2604">
      <w:pPr>
        <w:pStyle w:val="26"/>
        <w:spacing w:before="0" w:beforeAutospacing="0" w:after="0" w:afterAutospacing="0" w:line="400" w:lineRule="exact"/>
        <w:ind w:firstLine="480" w:firstLineChars="200"/>
        <w:jc w:val="both"/>
        <w:rPr>
          <w:rFonts w:hint="eastAsia"/>
          <w:highlight w:val="none"/>
        </w:rPr>
      </w:pPr>
      <w:r>
        <w:rPr>
          <w:rFonts w:hint="eastAsia"/>
          <w:highlight w:val="none"/>
        </w:rPr>
        <w:t>3.投标人不得在成交后将成交项目转包（或分包）给其它企业或自然人。</w:t>
      </w:r>
    </w:p>
    <w:p w14:paraId="2823E057">
      <w:pPr>
        <w:pStyle w:val="26"/>
        <w:spacing w:before="0" w:beforeAutospacing="0" w:after="0" w:afterAutospacing="0" w:line="400" w:lineRule="exact"/>
        <w:ind w:firstLine="480" w:firstLineChars="200"/>
        <w:jc w:val="both"/>
        <w:rPr>
          <w:rFonts w:hint="eastAsia"/>
          <w:highlight w:val="none"/>
        </w:rPr>
      </w:pPr>
      <w:r>
        <w:rPr>
          <w:rFonts w:hint="eastAsia"/>
          <w:highlight w:val="none"/>
        </w:rPr>
        <w:t>4.投标人对招标文件如有疑问，应于招标文件发出后以无记名邮件方式发至招标代理专用邮箱（1583370078@qq.com），所有答复也在网上公开回复。无论是招标人根据需要主动对招标文件进行必要的澄清，或是根据投标人的要求对招标文件做出澄清，招标人都将于提交投标文件截止时间前以补充通知的方式在网上公开发布，各投标人可在如东县限额交易网-“变更公告”栏目的附件中下载。</w:t>
      </w:r>
    </w:p>
    <w:p w14:paraId="73C90861">
      <w:pPr>
        <w:spacing w:line="400" w:lineRule="exact"/>
        <w:rPr>
          <w:rFonts w:hint="eastAsia" w:ascii="宋体" w:hAnsi="宋体" w:cs="宋体"/>
          <w:sz w:val="24"/>
          <w:highlight w:val="none"/>
        </w:rPr>
      </w:pPr>
      <w:r>
        <w:rPr>
          <w:rFonts w:hint="eastAsia" w:ascii="宋体" w:hAnsi="宋体" w:cs="宋体"/>
          <w:b/>
          <w:sz w:val="24"/>
          <w:highlight w:val="none"/>
        </w:rPr>
        <w:t>二.投标人资格要求</w:t>
      </w:r>
    </w:p>
    <w:p w14:paraId="167E7C82">
      <w:pPr>
        <w:wordWrap w:val="0"/>
        <w:spacing w:line="40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投标人必须同时符合以下条件：见本项目招标公告。</w:t>
      </w:r>
    </w:p>
    <w:p w14:paraId="008539BC">
      <w:pPr>
        <w:spacing w:line="400" w:lineRule="exact"/>
        <w:rPr>
          <w:rFonts w:hint="eastAsia" w:ascii="宋体" w:hAnsi="宋体" w:cs="宋体"/>
          <w:b/>
          <w:sz w:val="24"/>
          <w:highlight w:val="none"/>
        </w:rPr>
      </w:pPr>
      <w:r>
        <w:rPr>
          <w:rFonts w:hint="eastAsia" w:ascii="宋体" w:hAnsi="宋体" w:cs="宋体"/>
          <w:b/>
          <w:sz w:val="24"/>
          <w:highlight w:val="none"/>
        </w:rPr>
        <w:t>三.投标文件</w:t>
      </w:r>
    </w:p>
    <w:p w14:paraId="0DB32513">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1.投标人应认真阅读招标文件的所有内容，未按招标文件要求编制的投标文件将被拒绝。</w:t>
      </w:r>
    </w:p>
    <w:p w14:paraId="3B5ECE2E">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2.投标文件包括资格审查文件和商务标（含投标文件电子版）两部分。</w:t>
      </w:r>
    </w:p>
    <w:p w14:paraId="60A14571">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2.1资格审查文件须包括以下内容：</w:t>
      </w:r>
    </w:p>
    <w:p w14:paraId="31FD025E">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2.1.1法定代表人身份证明书（格式见附件一）、法定代表人第二代身份证复印件；</w:t>
      </w:r>
    </w:p>
    <w:p w14:paraId="4A9F537E">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2.1.2法定代表人授权委托书（格式见附件二）、授权委托人（即经办人）第二代身份证复印件（法定代表人本人来投标的不需要提供）；</w:t>
      </w:r>
    </w:p>
    <w:p w14:paraId="60F7E09C">
      <w:pPr>
        <w:adjustRightInd w:val="0"/>
        <w:snapToGrid w:val="0"/>
        <w:spacing w:line="360" w:lineRule="auto"/>
        <w:ind w:firstLine="480" w:firstLineChars="200"/>
        <w:rPr>
          <w:highlight w:val="none"/>
        </w:rPr>
      </w:pPr>
      <w:r>
        <w:rPr>
          <w:rFonts w:hint="eastAsia" w:ascii="宋体" w:hAnsi="宋体"/>
          <w:sz w:val="24"/>
          <w:szCs w:val="24"/>
          <w:highlight w:val="none"/>
        </w:rPr>
        <w:t>2.1.3有效的企业营业执照复印件；（加盖公章）；</w:t>
      </w:r>
    </w:p>
    <w:p w14:paraId="39A63FD4">
      <w:pPr>
        <w:adjustRightInd w:val="0"/>
        <w:snapToGrid w:val="0"/>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rPr>
        <w:t>2.1.4企业</w:t>
      </w:r>
      <w:r>
        <w:rPr>
          <w:rFonts w:hint="eastAsia" w:ascii="宋体" w:hAnsi="宋体"/>
          <w:sz w:val="24"/>
          <w:szCs w:val="24"/>
          <w:highlight w:val="none"/>
          <w:lang w:eastAsia="zh-CN"/>
        </w:rPr>
        <w:t>资质证书；</w:t>
      </w:r>
      <w:r>
        <w:rPr>
          <w:rFonts w:hint="eastAsia" w:ascii="宋体" w:hAnsi="宋体"/>
          <w:sz w:val="24"/>
          <w:szCs w:val="24"/>
          <w:highlight w:val="none"/>
        </w:rPr>
        <w:t>（加盖公章）；</w:t>
      </w:r>
    </w:p>
    <w:p w14:paraId="6E810756">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2.1.5</w:t>
      </w:r>
      <w:r>
        <w:rPr>
          <w:rFonts w:hint="eastAsia" w:ascii="宋体" w:hAnsi="宋体"/>
          <w:sz w:val="24"/>
          <w:szCs w:val="24"/>
          <w:highlight w:val="none"/>
          <w:lang w:eastAsia="zh-CN"/>
        </w:rPr>
        <w:t>企业</w:t>
      </w:r>
      <w:r>
        <w:rPr>
          <w:rFonts w:hint="eastAsia" w:ascii="宋体" w:hAnsi="宋体"/>
          <w:sz w:val="24"/>
          <w:szCs w:val="24"/>
          <w:highlight w:val="none"/>
        </w:rPr>
        <w:t>安全生产许可证复印件；（加盖公章）；</w:t>
      </w:r>
    </w:p>
    <w:p w14:paraId="7EEC6E4C">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2.1.</w:t>
      </w:r>
      <w:r>
        <w:rPr>
          <w:rFonts w:hint="eastAsia" w:ascii="宋体" w:hAnsi="宋体"/>
          <w:b/>
          <w:bCs/>
          <w:sz w:val="24"/>
          <w:szCs w:val="24"/>
          <w:highlight w:val="none"/>
          <w:lang w:val="en-US" w:eastAsia="zh-CN"/>
        </w:rPr>
        <w:t>6</w:t>
      </w:r>
      <w:r>
        <w:rPr>
          <w:rFonts w:hint="eastAsia" w:ascii="宋体" w:hAnsi="宋体"/>
          <w:b/>
          <w:bCs/>
          <w:sz w:val="24"/>
          <w:szCs w:val="24"/>
          <w:highlight w:val="none"/>
        </w:rPr>
        <w:t>投标人必须为2024年度经如东县住房建设服务中心、如东县房屋征收行业协会登记过的单位，提供证明材料复印件（加盖公章）；</w:t>
      </w:r>
    </w:p>
    <w:p w14:paraId="06830159">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2.1.7项目负责人的建筑工程专业二级及以上注册建造师（不含临时）（须在有效期内的新证）、安全考核合格B证复印件（加盖公章）；</w:t>
      </w:r>
    </w:p>
    <w:p w14:paraId="0B3D7301">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2.1.7安全员的岗位证书（C证）复印件（加盖公章）；</w:t>
      </w:r>
    </w:p>
    <w:p w14:paraId="1778B258">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2.1.8项目负责人的身份证及由社保部门出具的投标单位为其办理的2024年</w:t>
      </w:r>
      <w:r>
        <w:rPr>
          <w:rFonts w:hint="eastAsia" w:ascii="宋体" w:hAnsi="宋体"/>
          <w:b/>
          <w:bCs/>
          <w:sz w:val="24"/>
          <w:szCs w:val="24"/>
          <w:highlight w:val="none"/>
          <w:lang w:val="en-US" w:eastAsia="zh-CN"/>
        </w:rPr>
        <w:t>7</w:t>
      </w:r>
      <w:r>
        <w:rPr>
          <w:rFonts w:hint="eastAsia" w:ascii="宋体" w:hAnsi="宋体"/>
          <w:b/>
          <w:bCs/>
          <w:sz w:val="24"/>
          <w:szCs w:val="24"/>
          <w:highlight w:val="none"/>
        </w:rPr>
        <w:t>月份至2024年</w:t>
      </w:r>
      <w:r>
        <w:rPr>
          <w:rFonts w:hint="eastAsia" w:ascii="宋体" w:hAnsi="宋体"/>
          <w:b/>
          <w:bCs/>
          <w:sz w:val="24"/>
          <w:szCs w:val="24"/>
          <w:highlight w:val="none"/>
          <w:lang w:val="en-US" w:eastAsia="zh-CN"/>
        </w:rPr>
        <w:t>9</w:t>
      </w:r>
      <w:r>
        <w:rPr>
          <w:rFonts w:hint="eastAsia" w:ascii="宋体" w:hAnsi="宋体"/>
          <w:b/>
          <w:bCs/>
          <w:sz w:val="24"/>
          <w:szCs w:val="24"/>
          <w:highlight w:val="none"/>
        </w:rPr>
        <w:t>月份其中一个月的养老保险交费记录复印件（加盖公章）；（项目负责人不可为退休人员）；</w:t>
      </w:r>
    </w:p>
    <w:p w14:paraId="364A58ED">
      <w:pPr>
        <w:adjustRightInd w:val="0"/>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2.1.</w:t>
      </w:r>
      <w:r>
        <w:rPr>
          <w:rFonts w:hint="eastAsia" w:ascii="宋体" w:hAnsi="宋体"/>
          <w:b/>
          <w:sz w:val="24"/>
          <w:szCs w:val="24"/>
          <w:highlight w:val="none"/>
          <w:lang w:val="en-US" w:eastAsia="zh-CN"/>
        </w:rPr>
        <w:t>9</w:t>
      </w:r>
      <w:r>
        <w:rPr>
          <w:rFonts w:hint="eastAsia" w:ascii="宋体" w:hAnsi="宋体"/>
          <w:b/>
          <w:sz w:val="24"/>
          <w:szCs w:val="24"/>
          <w:highlight w:val="none"/>
        </w:rPr>
        <w:t>安全员的身份证及由社保部门出具的投标单位为其办理的2024年</w:t>
      </w:r>
      <w:r>
        <w:rPr>
          <w:rFonts w:hint="eastAsia" w:ascii="宋体" w:hAnsi="宋体"/>
          <w:b/>
          <w:sz w:val="24"/>
          <w:szCs w:val="24"/>
          <w:highlight w:val="none"/>
          <w:lang w:val="en-US" w:eastAsia="zh-CN"/>
        </w:rPr>
        <w:t>7</w:t>
      </w:r>
      <w:r>
        <w:rPr>
          <w:rFonts w:hint="eastAsia" w:ascii="宋体" w:hAnsi="宋体"/>
          <w:b/>
          <w:sz w:val="24"/>
          <w:szCs w:val="24"/>
          <w:highlight w:val="none"/>
        </w:rPr>
        <w:t>月份至2024年</w:t>
      </w:r>
      <w:r>
        <w:rPr>
          <w:rFonts w:hint="eastAsia" w:ascii="宋体" w:hAnsi="宋体"/>
          <w:b/>
          <w:sz w:val="24"/>
          <w:szCs w:val="24"/>
          <w:highlight w:val="none"/>
          <w:lang w:val="en-US" w:eastAsia="zh-CN"/>
        </w:rPr>
        <w:t>9</w:t>
      </w:r>
      <w:r>
        <w:rPr>
          <w:rFonts w:hint="eastAsia" w:ascii="宋体" w:hAnsi="宋体"/>
          <w:b/>
          <w:sz w:val="24"/>
          <w:szCs w:val="24"/>
          <w:highlight w:val="none"/>
        </w:rPr>
        <w:t>月份其中一个月的养老保险交费记录</w:t>
      </w:r>
      <w:r>
        <w:rPr>
          <w:rFonts w:hint="eastAsia" w:ascii="宋体" w:hAnsi="宋体"/>
          <w:b/>
          <w:bCs/>
          <w:sz w:val="24"/>
          <w:szCs w:val="24"/>
          <w:highlight w:val="none"/>
        </w:rPr>
        <w:t>复印件（加盖公章）；</w:t>
      </w:r>
      <w:r>
        <w:rPr>
          <w:rFonts w:hint="eastAsia" w:ascii="宋体" w:hAnsi="宋体"/>
          <w:b/>
          <w:sz w:val="24"/>
          <w:szCs w:val="24"/>
          <w:highlight w:val="none"/>
        </w:rPr>
        <w:t>（安全员不可为退休人员）；</w:t>
      </w:r>
    </w:p>
    <w:p w14:paraId="5B358D2E">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0</w:t>
      </w:r>
      <w:r>
        <w:rPr>
          <w:rFonts w:hint="eastAsia" w:ascii="宋体" w:hAnsi="宋体"/>
          <w:sz w:val="24"/>
          <w:szCs w:val="24"/>
          <w:highlight w:val="none"/>
        </w:rPr>
        <w:t>主要施工管理人员表；（格式见附件三）；</w:t>
      </w:r>
    </w:p>
    <w:p w14:paraId="02B3BC6C">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1</w:t>
      </w:r>
      <w:r>
        <w:rPr>
          <w:rFonts w:hint="eastAsia" w:ascii="宋体" w:hAnsi="宋体"/>
          <w:sz w:val="24"/>
          <w:szCs w:val="24"/>
          <w:highlight w:val="none"/>
        </w:rPr>
        <w:t>计划投入的主要施工机械设备表；（格式见附件四）。</w:t>
      </w:r>
    </w:p>
    <w:p w14:paraId="69CFA4BB">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2</w:t>
      </w:r>
      <w:r>
        <w:rPr>
          <w:rFonts w:hint="eastAsia" w:ascii="宋体" w:hAnsi="宋体"/>
          <w:sz w:val="24"/>
          <w:szCs w:val="24"/>
          <w:highlight w:val="none"/>
        </w:rPr>
        <w:t>项目负责人无在建工程承诺书；（格式见附件五）。</w:t>
      </w:r>
    </w:p>
    <w:p w14:paraId="0742676E">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3</w:t>
      </w:r>
      <w:r>
        <w:rPr>
          <w:rFonts w:hint="eastAsia" w:ascii="宋体" w:hAnsi="宋体"/>
          <w:sz w:val="24"/>
          <w:szCs w:val="24"/>
          <w:highlight w:val="none"/>
        </w:rPr>
        <w:t>投标承诺书、投标人诚信承诺书、公共资源交易投标信用承诺书；（格式见附件六）</w:t>
      </w:r>
    </w:p>
    <w:p w14:paraId="143CCFEC">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4</w:t>
      </w:r>
      <w:r>
        <w:rPr>
          <w:rFonts w:hint="eastAsia" w:ascii="宋体" w:hAnsi="宋体"/>
          <w:sz w:val="24"/>
          <w:szCs w:val="24"/>
          <w:highlight w:val="none"/>
        </w:rPr>
        <w:t>投标保证金银行汇票或银行转账复印件；</w:t>
      </w:r>
    </w:p>
    <w:p w14:paraId="69736946">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2.1.1</w:t>
      </w:r>
      <w:r>
        <w:rPr>
          <w:rFonts w:hint="eastAsia" w:ascii="宋体" w:hAnsi="宋体"/>
          <w:sz w:val="24"/>
          <w:szCs w:val="24"/>
          <w:highlight w:val="none"/>
          <w:lang w:val="en-US" w:eastAsia="zh-CN"/>
        </w:rPr>
        <w:t>5</w:t>
      </w:r>
      <w:r>
        <w:rPr>
          <w:rFonts w:hint="eastAsia" w:ascii="宋体" w:hAnsi="宋体"/>
          <w:sz w:val="24"/>
          <w:szCs w:val="24"/>
          <w:highlight w:val="none"/>
        </w:rPr>
        <w:t>投标人认为有必要提供的其它资料。</w:t>
      </w:r>
    </w:p>
    <w:p w14:paraId="306C5D32">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注：</w:t>
      </w:r>
    </w:p>
    <w:p w14:paraId="48A3A4BD">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（1）本项目资格审查文件，投标人须按招标文件的要求及顺序以PDF 格式上传至系统内相应位置，上传的所有资格审查文件必须每页都有投标单位电子签章（</w:t>
      </w:r>
      <w:r>
        <w:rPr>
          <w:rFonts w:hint="eastAsia" w:ascii="宋体" w:hAnsi="宋体"/>
          <w:b/>
          <w:bCs/>
          <w:sz w:val="24"/>
          <w:szCs w:val="24"/>
          <w:highlight w:val="none"/>
          <w:u w:val="single"/>
        </w:rPr>
        <w:t>电子签章文件上传之后必须预览，确认正常打开，否则视为无效文件</w:t>
      </w:r>
      <w:r>
        <w:rPr>
          <w:rFonts w:hint="eastAsia" w:ascii="宋体" w:hAnsi="宋体"/>
          <w:b/>
          <w:bCs/>
          <w:sz w:val="24"/>
          <w:szCs w:val="24"/>
          <w:highlight w:val="none"/>
        </w:rPr>
        <w:t>），不能按要求电子签章的将会被废除投标资格。资格审查不合格的投标人，其“商务标”不参加评审，具体操作流程详见《操作手册》，请投标人登录“如东县限额交易网-项目投标方”的登录页面下载《操作手册》。</w:t>
      </w:r>
    </w:p>
    <w:p w14:paraId="7BC0C60A">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（2）各投标单位上传的投标文件提交前，请认真复查自己的投标文件制作的清晰情况，如投标文件不清晰，影响评标结果的，一律由投标人自行承担。</w:t>
      </w:r>
    </w:p>
    <w:p w14:paraId="65CB6520">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3）开标过程中，如投标单位提供的相关证件（身份证、注册资格证、职称证、营业执照、养老保险证明等）为虚假或伪造，一经发现则取消投标或中标资格，招投标行政监督部门将没收其投标保证金，并将其记入不良行为记录，并视情节轻重取消在洋口港经济开发区</w:t>
      </w:r>
      <w:r>
        <w:rPr>
          <w:rFonts w:ascii="宋体" w:hAnsi="宋体"/>
          <w:b/>
          <w:bCs/>
          <w:sz w:val="24"/>
          <w:szCs w:val="24"/>
          <w:highlight w:val="none"/>
        </w:rPr>
        <w:t>1-3年的依法必须进行招标项目的投标资格；如开标现场发现投标单位持证（身份证）人与提供身份证不符的，则视为弄虚作假行为，招标投标行政监督部门将没收其投标保证金，并将其记入不良行为记录，并视情节轻重取</w:t>
      </w:r>
      <w:r>
        <w:rPr>
          <w:rFonts w:hint="eastAsia" w:ascii="宋体" w:hAnsi="宋体"/>
          <w:b/>
          <w:bCs/>
          <w:sz w:val="24"/>
          <w:szCs w:val="24"/>
          <w:highlight w:val="none"/>
        </w:rPr>
        <w:t>消在洋口港经济开发区1-3年的依法必须进行招标项目的投标资格。</w:t>
      </w:r>
    </w:p>
    <w:p w14:paraId="21BD1B33">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3.1商务标应包括（但不限于）下列内容：</w:t>
      </w:r>
    </w:p>
    <w:p w14:paraId="47E789E0">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 xml:space="preserve">3.1.1投标函； </w:t>
      </w:r>
    </w:p>
    <w:p w14:paraId="0011092A">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3.1.2投标报价单（格式见附件七）；</w:t>
      </w:r>
    </w:p>
    <w:p w14:paraId="254172AD">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3.1.3 工程量清单报价表（格式见附件八）。</w:t>
      </w:r>
    </w:p>
    <w:p w14:paraId="1CF40A1F">
      <w:pPr>
        <w:adjustRightInd w:val="0"/>
        <w:snapToGrid w:val="0"/>
        <w:spacing w:line="420" w:lineRule="exact"/>
        <w:ind w:firstLine="450" w:firstLineChars="200"/>
        <w:rPr>
          <w:rFonts w:hint="eastAsia" w:ascii="宋体" w:hAnsi="宋体"/>
          <w:b/>
          <w:bCs/>
          <w:spacing w:val="-8"/>
          <w:sz w:val="24"/>
          <w:szCs w:val="24"/>
          <w:highlight w:val="none"/>
        </w:rPr>
      </w:pPr>
      <w:r>
        <w:rPr>
          <w:rFonts w:hint="eastAsia" w:ascii="宋体" w:hAnsi="宋体"/>
          <w:b/>
          <w:bCs/>
          <w:spacing w:val="-8"/>
          <w:sz w:val="24"/>
          <w:szCs w:val="24"/>
          <w:highlight w:val="none"/>
        </w:rPr>
        <w:t>注：（1）完整的一套商务标文件必须以PDF格式上传至系统内相应位置，具体操作流程详见《招投标系统操作手册（投标人）》。</w:t>
      </w:r>
    </w:p>
    <w:p w14:paraId="7A4D15D3">
      <w:pPr>
        <w:adjustRightInd w:val="0"/>
        <w:snapToGrid w:val="0"/>
        <w:spacing w:line="420" w:lineRule="exact"/>
        <w:ind w:firstLine="900" w:firstLineChars="400"/>
        <w:rPr>
          <w:rFonts w:hint="eastAsia" w:ascii="宋体" w:hAnsi="宋体"/>
          <w:b/>
          <w:bCs/>
          <w:spacing w:val="-8"/>
          <w:sz w:val="24"/>
          <w:szCs w:val="24"/>
          <w:highlight w:val="none"/>
        </w:rPr>
      </w:pPr>
      <w:r>
        <w:rPr>
          <w:rFonts w:hint="eastAsia" w:ascii="宋体" w:hAnsi="宋体"/>
          <w:b/>
          <w:bCs/>
          <w:spacing w:val="-8"/>
          <w:sz w:val="24"/>
          <w:szCs w:val="24"/>
          <w:highlight w:val="none"/>
        </w:rPr>
        <w:t>（2）完整的一套商务标文件，</w:t>
      </w:r>
      <w:r>
        <w:rPr>
          <w:rFonts w:hint="eastAsia" w:ascii="宋体" w:hAnsi="宋体"/>
          <w:b/>
          <w:bCs/>
          <w:sz w:val="24"/>
          <w:highlight w:val="none"/>
        </w:rPr>
        <w:t>必须每页都有投标单位电子签章（</w:t>
      </w:r>
      <w:r>
        <w:rPr>
          <w:rFonts w:hint="eastAsia" w:ascii="宋体" w:hAnsi="宋体"/>
          <w:b/>
          <w:bCs/>
          <w:sz w:val="24"/>
          <w:highlight w:val="none"/>
          <w:u w:val="single"/>
        </w:rPr>
        <w:t>电子签章文件上传之后必须预览，确认正常打开，否则视为无效文件</w:t>
      </w:r>
      <w:r>
        <w:rPr>
          <w:rFonts w:hint="eastAsia" w:ascii="宋体" w:hAnsi="宋体"/>
          <w:b/>
          <w:bCs/>
          <w:sz w:val="24"/>
          <w:highlight w:val="none"/>
        </w:rPr>
        <w:t>），不能按要求电子签章的将会被废除投标资格。</w:t>
      </w:r>
      <w:r>
        <w:rPr>
          <w:rFonts w:hint="eastAsia" w:ascii="宋体" w:hAnsi="宋体"/>
          <w:b/>
          <w:bCs/>
          <w:spacing w:val="-8"/>
          <w:sz w:val="24"/>
          <w:szCs w:val="24"/>
          <w:highlight w:val="none"/>
        </w:rPr>
        <w:t>必须以PDF 格式上传至系统内相应位置，具体操作流程详见《招投标系统操作手册（投标人）》。</w:t>
      </w:r>
    </w:p>
    <w:p w14:paraId="6F27C52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4.投标有效期</w:t>
      </w:r>
    </w:p>
    <w:p w14:paraId="03FDFC1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投标文件自投标截止时间起至前附表投标须知规定的时间内有效。</w:t>
      </w:r>
    </w:p>
    <w:p w14:paraId="1D306797">
      <w:pPr>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5.投标保证金</w:t>
      </w:r>
    </w:p>
    <w:p w14:paraId="4AF8BD58">
      <w:pPr>
        <w:adjustRightInd w:val="0"/>
        <w:snapToGrid w:val="0"/>
        <w:spacing w:line="420" w:lineRule="exact"/>
        <w:ind w:firstLine="480" w:firstLineChars="200"/>
        <w:rPr>
          <w:rFonts w:hint="eastAsia" w:ascii="宋体" w:hAnsi="宋体"/>
          <w:b/>
          <w:bCs/>
          <w:sz w:val="24"/>
          <w:szCs w:val="24"/>
          <w:highlight w:val="none"/>
        </w:rPr>
      </w:pPr>
      <w:r>
        <w:rPr>
          <w:rFonts w:hint="eastAsia" w:ascii="宋体" w:hAnsi="宋体"/>
          <w:sz w:val="24"/>
          <w:szCs w:val="24"/>
          <w:highlight w:val="none"/>
        </w:rPr>
        <w:t>5.1本工程的投标保证金金额及缴纳方式见投标须知前附表。</w:t>
      </w:r>
      <w:r>
        <w:rPr>
          <w:rFonts w:hint="eastAsia" w:ascii="宋体" w:hAnsi="宋体"/>
          <w:b/>
          <w:bCs/>
          <w:sz w:val="24"/>
          <w:szCs w:val="24"/>
          <w:highlight w:val="none"/>
        </w:rPr>
        <w:t>本工程投标保证金采用银行转账缴纳或银行汇票等其它缴纳方式缴纳，同时必须备注项目名称，投标人必须以企业法人的名义从法人基本存款帐户缴纳，否则不予接受。以个人、企业的办事处、分公司、子公司名义或从他人帐户、投标人企业的其他账户缴纳的投标保证金无效。”</w:t>
      </w:r>
    </w:p>
    <w:p w14:paraId="73F643EC">
      <w:pPr>
        <w:adjustRightInd w:val="0"/>
        <w:snapToGrid w:val="0"/>
        <w:spacing w:line="42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收款单位: 江苏如东洋口港经济开发区财政局；账号:10712801040002081</w:t>
      </w:r>
    </w:p>
    <w:p w14:paraId="1E78CBF0">
      <w:pPr>
        <w:adjustRightInd w:val="0"/>
        <w:snapToGrid w:val="0"/>
        <w:spacing w:line="42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开户行:中国农业银行如东洋口港分理处</w:t>
      </w:r>
    </w:p>
    <w:p w14:paraId="1077504A">
      <w:pPr>
        <w:adjustRightInd w:val="0"/>
        <w:snapToGrid w:val="0"/>
        <w:spacing w:line="42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注：银行转账凭证上须加盖投标人单位公章；如果投标单位提供的相关证件等为虚假或伪造一经发现则取消投标单位资格，其列入洋口港开发区黑名</w:t>
      </w:r>
      <w:r>
        <w:rPr>
          <w:rFonts w:hint="eastAsia" w:ascii="宋体" w:hAnsi="宋体"/>
          <w:b/>
          <w:sz w:val="24"/>
          <w:szCs w:val="24"/>
          <w:highlight w:val="none"/>
        </w:rPr>
        <w:t>单。触犯相关法律法规</w:t>
      </w:r>
      <w:r>
        <w:rPr>
          <w:rFonts w:hint="eastAsia" w:ascii="宋体" w:hAnsi="宋体"/>
          <w:b/>
          <w:bCs/>
          <w:sz w:val="24"/>
          <w:szCs w:val="24"/>
          <w:highlight w:val="none"/>
        </w:rPr>
        <w:t>情形严重者，将追究刑事责任。</w:t>
      </w:r>
    </w:p>
    <w:p w14:paraId="1B1EE2C1">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5.2.未中标人的投标保证金在定标后予以退还(无息)。</w:t>
      </w:r>
    </w:p>
    <w:p w14:paraId="16CE18C1">
      <w:pPr>
        <w:adjustRightInd w:val="0"/>
        <w:snapToGrid w:val="0"/>
        <w:spacing w:line="420" w:lineRule="exact"/>
        <w:ind w:firstLine="482" w:firstLineChars="200"/>
        <w:rPr>
          <w:rFonts w:hint="eastAsia" w:ascii="宋体" w:hAnsi="宋体"/>
          <w:b/>
          <w:sz w:val="24"/>
          <w:szCs w:val="24"/>
          <w:highlight w:val="none"/>
        </w:rPr>
      </w:pPr>
      <w:bookmarkStart w:id="4" w:name="_Toc320622506"/>
      <w:bookmarkEnd w:id="4"/>
      <w:r>
        <w:rPr>
          <w:rFonts w:hint="eastAsia" w:ascii="宋体" w:hAnsi="宋体"/>
          <w:b/>
          <w:bCs/>
          <w:sz w:val="24"/>
          <w:szCs w:val="24"/>
          <w:highlight w:val="none"/>
        </w:rPr>
        <w:t>5.3. 中标人在中标公示期满后3日内须按规定在本项目所在地(如东县洋口港经济开发区)领取中标通知书，在中标通知书发出后3日内缴纳中标价的10%，作为履约保证金，履约保证金提交形式为银行转账(接收账户为招标人指定账户)，履约保证金在项目完成验收合格后退还，中标人也可选择用于抵扣等额合同款；中标人在中标通知书发出后10日内与采购人签订合同；中标人在中标通知书发出后14日内将与采购人签订的合同原件递交区交易中心进行备案；若中标人因自身原因未能按上述时间节点办理以上相关手续并因此影响项目实施进程，甚至给招标人造成恶劣影响或损失，则视为违约，招标人及区公共资源交易中心将视情节恶劣程度有权作出“取消中标资格，没收投标保证金金及履约保证金，并视情节轻重列入非诚信企业黑名单，取消在洋口港经济开发区1-3年的依法必须进行招标项目的投标资格”等相关处罚措施</w:t>
      </w:r>
      <w:r>
        <w:rPr>
          <w:rFonts w:hint="eastAsia" w:ascii="宋体" w:hAnsi="宋体"/>
          <w:b/>
          <w:sz w:val="24"/>
          <w:highlight w:val="none"/>
        </w:rPr>
        <w:t>。</w:t>
      </w:r>
    </w:p>
    <w:p w14:paraId="59D2519B">
      <w:pPr>
        <w:spacing w:line="360" w:lineRule="auto"/>
        <w:ind w:firstLine="482"/>
        <w:rPr>
          <w:rFonts w:hint="eastAsia" w:ascii="宋体" w:hAnsi="宋体"/>
          <w:sz w:val="24"/>
          <w:szCs w:val="24"/>
          <w:highlight w:val="none"/>
        </w:rPr>
      </w:pPr>
      <w:r>
        <w:rPr>
          <w:rFonts w:hint="eastAsia" w:ascii="宋体" w:hAnsi="宋体"/>
          <w:sz w:val="24"/>
          <w:szCs w:val="24"/>
          <w:highlight w:val="none"/>
        </w:rPr>
        <w:t>5.4. 投标人在投标有效期内撤回投标文件，该投标人的投标保证金将予以没收。中标通知书发出后，除不可抗力情况外，中标人出现下列情形之一的，将取消其中标资格，其投标保证金不予退还：</w:t>
      </w:r>
    </w:p>
    <w:p w14:paraId="130EB7A7">
      <w:pPr>
        <w:widowControl/>
        <w:spacing w:line="360" w:lineRule="auto"/>
        <w:ind w:firstLine="480"/>
        <w:jc w:val="left"/>
        <w:rPr>
          <w:rFonts w:hint="eastAsia" w:ascii="宋体" w:hAnsi="宋体"/>
          <w:sz w:val="24"/>
          <w:szCs w:val="24"/>
          <w:highlight w:val="none"/>
        </w:rPr>
      </w:pPr>
      <w:r>
        <w:rPr>
          <w:rFonts w:hint="eastAsia" w:ascii="宋体" w:hAnsi="宋体"/>
          <w:sz w:val="24"/>
          <w:szCs w:val="24"/>
          <w:highlight w:val="none"/>
        </w:rPr>
        <w:t>5.4.1在投标有效期内不按时办理中标通知书手续或放弃中标项目的；</w:t>
      </w:r>
    </w:p>
    <w:p w14:paraId="492AB54A">
      <w:pPr>
        <w:widowControl/>
        <w:spacing w:line="360" w:lineRule="auto"/>
        <w:ind w:firstLine="480"/>
        <w:jc w:val="left"/>
        <w:rPr>
          <w:rFonts w:hint="eastAsia" w:ascii="宋体" w:hAnsi="宋体"/>
          <w:sz w:val="24"/>
          <w:szCs w:val="24"/>
          <w:highlight w:val="none"/>
        </w:rPr>
      </w:pPr>
      <w:r>
        <w:rPr>
          <w:rFonts w:hint="eastAsia" w:ascii="宋体" w:hAnsi="宋体"/>
          <w:sz w:val="24"/>
          <w:szCs w:val="24"/>
          <w:highlight w:val="none"/>
        </w:rPr>
        <w:t>5.4.2按照本招标文件应当提交履约保证金而不提交的；</w:t>
      </w:r>
    </w:p>
    <w:p w14:paraId="2CC6B8A2">
      <w:pPr>
        <w:widowControl/>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5.4.3不与招标人签订合同的，或者在签订合同时向招标人提出附加条件或者更改合同实质性内容的。</w:t>
      </w:r>
    </w:p>
    <w:p w14:paraId="4D65C355">
      <w:pPr>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投标人（中标人）存在前款所述情形的，招标投标行政监督部门应当将其记入不良行为记录，在一年内其它政府投资项目的招标人可以据此不接受其投标。</w:t>
      </w:r>
    </w:p>
    <w:p w14:paraId="1C029FC6">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6.踏勘现场</w:t>
      </w:r>
    </w:p>
    <w:p w14:paraId="604D3370">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6.1.投标人按本须知前附表第10项所述，自行组织对工程现场及周围环境进行踏勘，以便投标人获取有关编制投标文件和签署合同所涉及现场的资料。投标人承担踏勘现场发生的自身费用。</w:t>
      </w:r>
    </w:p>
    <w:p w14:paraId="6BA525DF">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6.2.招标人向投标人提供的有关现场的数据和资料，是招标人现有的能被投标人利用的资料，招标人对投标人作出的任何推论、理解和结论均不负责任。</w:t>
      </w:r>
    </w:p>
    <w:p w14:paraId="31AAC84B">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6.3.经招标人允许，投标人可为踏勘目的进入招标人的项目现场，但投标人不得因此使招标人承担有关的责任和蒙受损失，投标人应承担踏勘现场的责任和风险。</w:t>
      </w:r>
    </w:p>
    <w:p w14:paraId="6A82F769">
      <w:pPr>
        <w:spacing w:line="400" w:lineRule="exact"/>
        <w:ind w:firstLine="480" w:firstLineChars="200"/>
        <w:rPr>
          <w:rFonts w:hint="eastAsia" w:ascii="宋体" w:hAnsi="宋体" w:cs="宋体"/>
          <w:b/>
          <w:sz w:val="24"/>
          <w:highlight w:val="none"/>
        </w:rPr>
      </w:pPr>
      <w:r>
        <w:rPr>
          <w:rFonts w:hint="eastAsia" w:ascii="宋体" w:hAnsi="宋体"/>
          <w:sz w:val="24"/>
          <w:szCs w:val="24"/>
          <w:highlight w:val="none"/>
        </w:rPr>
        <w:t>6.4. 投标人应充分考虑投标文件制作过程中的数据变化因素，检查确认投标文件内容的正确完整和对招标文件的响应程度。</w:t>
      </w:r>
    </w:p>
    <w:p w14:paraId="63B9EFD7">
      <w:pPr>
        <w:spacing w:line="400" w:lineRule="exact"/>
        <w:rPr>
          <w:rFonts w:hint="eastAsia" w:ascii="宋体" w:hAnsi="宋体" w:cs="宋体"/>
          <w:b/>
          <w:sz w:val="24"/>
          <w:highlight w:val="none"/>
        </w:rPr>
      </w:pPr>
      <w:r>
        <w:rPr>
          <w:rFonts w:hint="eastAsia" w:ascii="宋体" w:hAnsi="宋体" w:cs="宋体"/>
          <w:b/>
          <w:sz w:val="24"/>
          <w:highlight w:val="none"/>
        </w:rPr>
        <w:t>四.无效投标及废标情形</w:t>
      </w:r>
    </w:p>
    <w:p w14:paraId="2B5D0446">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1.符合下列情形之一者，投标人投标无效：</w:t>
      </w:r>
    </w:p>
    <w:p w14:paraId="3D4C5A43">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（1）投标人未按本招标文件要求提供投标文件，或投标文件未按要求密封、标记的；</w:t>
      </w:r>
    </w:p>
    <w:p w14:paraId="37EDA01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（2）投标人资格证明文件不符合本招标文件要求的；</w:t>
      </w:r>
    </w:p>
    <w:p w14:paraId="3A34DA65">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（3）投标文件未按本招标文件规定的格式制作的；</w:t>
      </w:r>
    </w:p>
    <w:p w14:paraId="34B21035">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（4）投标文件未按本招标文件要求盖章及签署的；</w:t>
      </w:r>
    </w:p>
    <w:p w14:paraId="6777A428">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（5）投标人提供虚假、伪造、过期资料的；</w:t>
      </w:r>
    </w:p>
    <w:p w14:paraId="3C3DEE84">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（6）报价资料漏项、字迹模糊，无法辩认的；</w:t>
      </w:r>
    </w:p>
    <w:p w14:paraId="238FA2CF">
      <w:pPr>
        <w:tabs>
          <w:tab w:val="left" w:pos="900"/>
        </w:tabs>
        <w:spacing w:line="400" w:lineRule="exact"/>
        <w:ind w:firstLine="480" w:firstLineChars="200"/>
        <w:rPr>
          <w:rFonts w:hint="eastAsia" w:ascii="宋体" w:hAnsi="宋体" w:cs="宋体"/>
          <w:b/>
          <w:sz w:val="24"/>
          <w:highlight w:val="none"/>
        </w:rPr>
      </w:pPr>
      <w:r>
        <w:rPr>
          <w:rFonts w:hint="eastAsia" w:ascii="宋体" w:hAnsi="宋体" w:cs="宋体"/>
          <w:sz w:val="24"/>
          <w:highlight w:val="none"/>
        </w:rPr>
        <w:t>（7）投标报价低于招标控制价和控制单价的</w:t>
      </w:r>
      <w:r>
        <w:rPr>
          <w:rFonts w:hint="eastAsia" w:ascii="宋体" w:hAnsi="宋体" w:cs="宋体"/>
          <w:b/>
          <w:sz w:val="24"/>
          <w:highlight w:val="none"/>
        </w:rPr>
        <w:t>；</w:t>
      </w:r>
    </w:p>
    <w:p w14:paraId="13A60C6D">
      <w:pPr>
        <w:tabs>
          <w:tab w:val="left" w:pos="90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（8）投标人改变本采购文件提供的清单中的计量单位、数量的；</w:t>
      </w:r>
    </w:p>
    <w:p w14:paraId="5396AD4F">
      <w:pPr>
        <w:widowControl/>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（9）投标文件提出了不能满足本招标文件要求或招标人不能接受的工程验收、计量、价款结算支付办法；</w:t>
      </w:r>
    </w:p>
    <w:p w14:paraId="2A9ABB4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（10）报价资料中有两个或两个以上报价的；</w:t>
      </w:r>
    </w:p>
    <w:p w14:paraId="1E9642A4">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（11）投标人未按本招标文件要求提供电子投标文件；</w:t>
      </w:r>
    </w:p>
    <w:p w14:paraId="7C634D7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（12）没有按规定缴纳投标保证金的；</w:t>
      </w:r>
    </w:p>
    <w:p w14:paraId="3CC1402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（13）投标文件未对招标文件作出实质性响应的；</w:t>
      </w:r>
    </w:p>
    <w:p w14:paraId="7200F1F3">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（14）投标文件违反法律、法规要求，或本招标文件中另有规定为无效投标情形的；</w:t>
      </w:r>
    </w:p>
    <w:p w14:paraId="75B3F6A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（15）不同投标人委托同一自然人进行投标的；</w:t>
      </w:r>
    </w:p>
    <w:p w14:paraId="0D60F21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（16）投标文件资料不全或内容偏离本招标文件规定，评标委员认为未对招标文件作出实质性响应的；</w:t>
      </w:r>
    </w:p>
    <w:p w14:paraId="56CE3E7A">
      <w:pPr>
        <w:spacing w:line="400" w:lineRule="exact"/>
        <w:ind w:firstLine="480" w:firstLineChars="200"/>
        <w:rPr>
          <w:rFonts w:hint="eastAsia" w:ascii="宋体" w:hAnsi="宋体" w:cs="宋体"/>
          <w:b/>
          <w:bCs/>
          <w:sz w:val="24"/>
          <w:highlight w:val="none"/>
        </w:rPr>
      </w:pPr>
      <w:r>
        <w:rPr>
          <w:rFonts w:hint="eastAsia" w:ascii="宋体" w:hAnsi="宋体" w:cs="宋体"/>
          <w:sz w:val="24"/>
          <w:highlight w:val="none"/>
        </w:rPr>
        <w:t>（17）不同投标人的投标文件以及投标文件制作过程出现了评标委员会认为不应当雷同的情况的，废标并没收其投标保证金，招标人及监管部门将视情节轻重列入非诚信企业黑名单，取消在洋口港经济开发区1-3年的依法必须进行招标项目的投标资格</w:t>
      </w:r>
      <w:r>
        <w:rPr>
          <w:rFonts w:hint="eastAsia" w:ascii="宋体" w:hAnsi="宋体" w:cs="宋体"/>
          <w:b/>
          <w:bCs/>
          <w:sz w:val="24"/>
          <w:highlight w:val="none"/>
        </w:rPr>
        <w:t>；</w:t>
      </w:r>
    </w:p>
    <w:p w14:paraId="2C76E6A7">
      <w:pPr>
        <w:spacing w:line="400" w:lineRule="exact"/>
        <w:ind w:firstLine="480" w:firstLineChars="200"/>
        <w:rPr>
          <w:rFonts w:hint="eastAsia" w:ascii="宋体" w:hAnsi="宋体" w:cs="宋体"/>
          <w:b/>
          <w:bCs/>
          <w:sz w:val="24"/>
          <w:highlight w:val="none"/>
        </w:rPr>
      </w:pPr>
      <w:r>
        <w:rPr>
          <w:rFonts w:hint="eastAsia" w:ascii="宋体" w:hAnsi="宋体" w:cs="宋体"/>
          <w:sz w:val="24"/>
          <w:highlight w:val="none"/>
        </w:rPr>
        <w:t>（18）以他人的名义投标、串通投标、以行贿手段谋取中标或者以其他弄虚作假方式投标的；废标并没收其投标保证金，招标人及监管部门将视情节轻重列入非诚信企业黑名单，取消在洋口港经济开发区1-3年的依法必须进行招标项目的投标资格</w:t>
      </w:r>
      <w:r>
        <w:rPr>
          <w:rFonts w:hint="eastAsia" w:ascii="宋体" w:hAnsi="宋体" w:cs="宋体"/>
          <w:b/>
          <w:bCs/>
          <w:sz w:val="24"/>
          <w:highlight w:val="none"/>
        </w:rPr>
        <w:t>；</w:t>
      </w:r>
    </w:p>
    <w:p w14:paraId="6299E6FA">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19）不同单位的投标经办人若为近亲关系的（父母、夫妻、子女等),视为串标行为，废标并没收其投标保证金，招标人及监管部门将视情节轻重列入非诚信企业黑名单，取消在洋口港经济开发区1-3年的依法必须进行招标项目的投标资格；</w:t>
      </w:r>
    </w:p>
    <w:p w14:paraId="7AFCBDFF">
      <w:pPr>
        <w:spacing w:line="400" w:lineRule="exact"/>
        <w:ind w:firstLine="480" w:firstLineChars="200"/>
        <w:rPr>
          <w:highlight w:val="none"/>
        </w:rPr>
      </w:pPr>
      <w:r>
        <w:rPr>
          <w:rFonts w:hint="eastAsia" w:ascii="宋体" w:hAnsi="宋体" w:cs="宋体"/>
          <w:sz w:val="24"/>
          <w:highlight w:val="none"/>
        </w:rPr>
        <w:t>（20）若中标人放弃中标的，则没收投标保证金及履约保证金，招标人及监管部门将视情节轻重列入非诚信企业黑名单，取消在洋口港经济开发区1-3年的依法必须进行招标项目的投标资格。</w:t>
      </w:r>
    </w:p>
    <w:p w14:paraId="3C1B63B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2.符合下列情形之一者，本招标项目相应标段废标：</w:t>
      </w:r>
    </w:p>
    <w:p w14:paraId="44C51DC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（1）经评标委员依据招标文件要求进行资格审查，合格投标人不足三家的标段；</w:t>
      </w:r>
    </w:p>
    <w:p w14:paraId="1E129705">
      <w:pPr>
        <w:spacing w:line="400" w:lineRule="exact"/>
        <w:ind w:firstLine="480" w:firstLineChars="200"/>
        <w:rPr>
          <w:rFonts w:hint="eastAsia" w:ascii="宋体" w:hAnsi="宋体" w:cs="宋体"/>
          <w:b/>
          <w:bCs/>
          <w:sz w:val="24"/>
          <w:highlight w:val="none"/>
        </w:rPr>
      </w:pPr>
      <w:r>
        <w:rPr>
          <w:rFonts w:hint="eastAsia" w:ascii="宋体" w:hAnsi="宋体" w:cs="宋体"/>
          <w:sz w:val="24"/>
          <w:highlight w:val="none"/>
        </w:rPr>
        <w:t>（2）所有投标人的报价均低于招标人单价控制价和招标控制价的</w:t>
      </w:r>
      <w:r>
        <w:rPr>
          <w:rFonts w:hint="eastAsia" w:ascii="宋体" w:hAnsi="宋体" w:cs="宋体"/>
          <w:b/>
          <w:bCs/>
          <w:sz w:val="24"/>
          <w:highlight w:val="none"/>
        </w:rPr>
        <w:t>（本项目招标控制价为：</w:t>
      </w:r>
      <w:r>
        <w:rPr>
          <w:rFonts w:hint="eastAsia" w:ascii="宋体" w:hAnsi="宋体" w:cs="宋体"/>
          <w:b/>
          <w:bCs/>
          <w:sz w:val="24"/>
          <w:highlight w:val="none"/>
          <w:lang w:eastAsia="zh-CN"/>
        </w:rPr>
        <w:t>174497</w:t>
      </w:r>
      <w:r>
        <w:rPr>
          <w:rFonts w:hint="eastAsia" w:ascii="宋体" w:hAnsi="宋体" w:cs="宋体"/>
          <w:b/>
          <w:bCs/>
          <w:sz w:val="24"/>
          <w:highlight w:val="none"/>
        </w:rPr>
        <w:t>.00元，控制单价见第一章)；</w:t>
      </w:r>
    </w:p>
    <w:p w14:paraId="4DC89255">
      <w:pPr>
        <w:widowControl/>
        <w:spacing w:line="400" w:lineRule="exact"/>
        <w:ind w:firstLine="480" w:firstLineChars="200"/>
        <w:rPr>
          <w:rFonts w:hint="eastAsia" w:ascii="宋体" w:hAnsi="宋体" w:cs="宋体"/>
          <w:kern w:val="0"/>
          <w:sz w:val="24"/>
          <w:highlight w:val="none"/>
        </w:rPr>
      </w:pPr>
      <w:r>
        <w:rPr>
          <w:rFonts w:hint="eastAsia" w:ascii="宋体" w:hAnsi="宋体" w:cs="宋体"/>
          <w:sz w:val="24"/>
          <w:highlight w:val="none"/>
        </w:rPr>
        <w:t>（3）</w:t>
      </w:r>
      <w:r>
        <w:rPr>
          <w:rFonts w:hint="eastAsia" w:ascii="宋体" w:hAnsi="宋体" w:cs="宋体"/>
          <w:kern w:val="0"/>
          <w:sz w:val="24"/>
          <w:highlight w:val="none"/>
        </w:rPr>
        <w:t>出现影响招标公正的违法、违规行为的；</w:t>
      </w:r>
    </w:p>
    <w:p w14:paraId="756BF63C">
      <w:pPr>
        <w:widowControl/>
        <w:spacing w:line="400" w:lineRule="exact"/>
        <w:ind w:firstLine="480" w:firstLineChars="200"/>
        <w:rPr>
          <w:rFonts w:hint="eastAsia" w:ascii="宋体" w:hAnsi="宋体" w:cs="宋体"/>
          <w:kern w:val="0"/>
          <w:sz w:val="24"/>
          <w:highlight w:val="none"/>
        </w:rPr>
      </w:pPr>
      <w:r>
        <w:rPr>
          <w:rFonts w:hint="eastAsia" w:ascii="宋体" w:hAnsi="宋体" w:cs="宋体"/>
          <w:sz w:val="24"/>
          <w:highlight w:val="none"/>
        </w:rPr>
        <w:t>（4）</w:t>
      </w:r>
      <w:r>
        <w:rPr>
          <w:rFonts w:hint="eastAsia" w:ascii="宋体" w:hAnsi="宋体" w:cs="宋体"/>
          <w:kern w:val="0"/>
          <w:sz w:val="24"/>
          <w:highlight w:val="none"/>
        </w:rPr>
        <w:t>因重大变故，招标任务取消的。</w:t>
      </w:r>
    </w:p>
    <w:p w14:paraId="6F0D3683">
      <w:pPr>
        <w:spacing w:line="40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五.报价要求</w:t>
      </w:r>
    </w:p>
    <w:p w14:paraId="1713AF40">
      <w:pPr>
        <w:spacing w:line="400" w:lineRule="exact"/>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1.成交原则：评标委员根据符合招标需求、质量和服务相等且投标报价最高的原则，从合格投标人中确定中标人【若最高价相同时，由评标委员确定中标人】。即有效投标报价最高的为第一中标候选人，有效投标报价次高的为第二中标候选人，以此类推，每标段只确定三名中标候选人。若第一中标候选人放弃中标、因不可抗力提出不能履行合同、招标文件规定应当提交合同款及履约保证金而在规定的期限内未提交的、存在违法行为被有关部门依法查处且其违法行为影响中标结果的，</w:t>
      </w:r>
      <w:r>
        <w:rPr>
          <w:rFonts w:hint="eastAsia" w:ascii="宋体" w:hAnsi="宋体" w:cs="宋体"/>
          <w:b/>
          <w:bCs/>
          <w:sz w:val="24"/>
          <w:szCs w:val="24"/>
          <w:highlight w:val="none"/>
        </w:rPr>
        <w:t>招标人依据招标投标法实施条例第五十五条规定按评标委员会推荐顺序依次递补确定中标人，若前三名都放弃中标的，则重新组织招标。</w:t>
      </w:r>
    </w:p>
    <w:p w14:paraId="5CF83ADD">
      <w:pPr>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若中标人放弃中标、因不可抗力提出不能履行合同、招标文件规定应当提交合同款及履约保证金而在规定的期限内未提交的、存在违法行为被有关部门依法查处且其违法行为影响中标结果的，没收其投标保证金并列入洋口港经济开发区（长沙镇）非诚信企业黑名单，3年内禁止其参与洋口港经济开发区（长沙镇）项目招投标活动</w:t>
      </w:r>
      <w:r>
        <w:rPr>
          <w:rFonts w:ascii="宋体" w:hAnsi="宋体" w:cs="宋体"/>
          <w:b/>
          <w:bCs/>
          <w:sz w:val="24"/>
          <w:szCs w:val="24"/>
          <w:highlight w:val="none"/>
        </w:rPr>
        <w:t>。</w:t>
      </w:r>
      <w:r>
        <w:rPr>
          <w:rFonts w:hint="eastAsia" w:ascii="宋体" w:hAnsi="宋体" w:cs="宋体"/>
          <w:b/>
          <w:bCs/>
          <w:sz w:val="24"/>
          <w:highlight w:val="none"/>
        </w:rPr>
        <w:t>注:</w:t>
      </w:r>
      <w:r>
        <w:rPr>
          <w:rFonts w:hint="eastAsia" w:ascii="宋体" w:hAnsi="宋体" w:cs="宋体"/>
          <w:b/>
          <w:bCs/>
          <w:sz w:val="24"/>
          <w:szCs w:val="24"/>
          <w:highlight w:val="none"/>
        </w:rPr>
        <w:t>①.有效投标文件是指未被评标委员会判定为无效标的投标文件；</w:t>
      </w:r>
    </w:p>
    <w:p w14:paraId="6B1A71A7">
      <w:pPr>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②.评标价是指经澄清、补正和修正算术计算错误的投标报价；</w:t>
      </w:r>
    </w:p>
    <w:p w14:paraId="39C9C4A3">
      <w:pPr>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③.如果单价乘以数量不等于总价，以单价为准修正总价，但修正后的汇总价格不得低于投标总价；若以单价为准修正总价后的汇总价格低于投标报价的，则以总价为准修正单价，投标报价保持不变。</w:t>
      </w:r>
    </w:p>
    <w:p w14:paraId="290F37E1">
      <w:pPr>
        <w:spacing w:line="400" w:lineRule="exact"/>
        <w:ind w:firstLine="482" w:firstLineChars="200"/>
        <w:rPr>
          <w:highlight w:val="none"/>
        </w:rPr>
      </w:pPr>
      <w:r>
        <w:rPr>
          <w:rFonts w:hint="eastAsia" w:ascii="宋体" w:hAnsi="宋体" w:cs="宋体"/>
          <w:b/>
          <w:bCs/>
          <w:sz w:val="24"/>
          <w:szCs w:val="24"/>
          <w:highlight w:val="none"/>
        </w:rPr>
        <w:t>注：</w:t>
      </w:r>
      <w:r>
        <w:rPr>
          <w:rFonts w:hint="eastAsia" w:ascii="宋体" w:hAnsi="宋体" w:cs="宋体"/>
          <w:bCs/>
          <w:sz w:val="24"/>
          <w:szCs w:val="24"/>
          <w:highlight w:val="none"/>
        </w:rPr>
        <w:t>评委会将按上述修正错误的方法调整投标文件中的投标报价，调整后的价格应对投标人具有约束力。</w:t>
      </w:r>
      <w:r>
        <w:rPr>
          <w:rFonts w:hint="eastAsia" w:ascii="宋体" w:hAnsi="宋体" w:cs="宋体"/>
          <w:b/>
          <w:bCs/>
          <w:sz w:val="24"/>
          <w:szCs w:val="24"/>
          <w:highlight w:val="none"/>
        </w:rPr>
        <w:t>如果投标人不接受修正后的价格，则其投标将被拒绝，其投标保证金将被没收。</w:t>
      </w:r>
      <w:r>
        <w:rPr>
          <w:rFonts w:hint="eastAsia" w:ascii="宋体" w:hAnsi="宋体" w:cs="宋体"/>
          <w:b/>
          <w:sz w:val="24"/>
          <w:highlight w:val="none"/>
        </w:rPr>
        <w:t xml:space="preserve"> </w:t>
      </w:r>
    </w:p>
    <w:p w14:paraId="7DB81416">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2.中标人经公示无异议后，招标人向中标人签发《中标通知书》。</w:t>
      </w:r>
    </w:p>
    <w:p w14:paraId="78BFDC1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3.中标人按照《中标通知书》的规定与招标人签订招标合同，招标合同报江苏如东洋口港经济开发区公共资源交易中心见证后生效。</w:t>
      </w:r>
    </w:p>
    <w:p w14:paraId="22283BA0">
      <w:pPr>
        <w:spacing w:line="400" w:lineRule="exact"/>
        <w:ind w:firstLine="480" w:firstLineChars="200"/>
        <w:rPr>
          <w:highlight w:val="none"/>
        </w:rPr>
      </w:pPr>
      <w:r>
        <w:rPr>
          <w:rFonts w:hint="eastAsia" w:ascii="宋体" w:hAnsi="宋体" w:cs="宋体"/>
          <w:sz w:val="24"/>
          <w:highlight w:val="none"/>
        </w:rPr>
        <w:t>4 .投标文件必须由投标人法定代表人或法定代表授权委托人递交。</w:t>
      </w:r>
    </w:p>
    <w:p w14:paraId="6506CD2C">
      <w:pPr>
        <w:spacing w:line="400" w:lineRule="exact"/>
        <w:rPr>
          <w:rFonts w:hint="eastAsia" w:ascii="宋体" w:hAnsi="宋体" w:cs="宋体"/>
          <w:b/>
          <w:sz w:val="24"/>
          <w:highlight w:val="none"/>
        </w:rPr>
      </w:pPr>
      <w:r>
        <w:rPr>
          <w:rFonts w:hint="eastAsia" w:ascii="宋体" w:hAnsi="宋体" w:cs="宋体"/>
          <w:b/>
          <w:sz w:val="24"/>
          <w:highlight w:val="none"/>
        </w:rPr>
        <w:t>六.投标要求</w:t>
      </w:r>
    </w:p>
    <w:p w14:paraId="2F97831F">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1.投标文件：投标人必须按照本招标文件要求制作投标文件。</w:t>
      </w:r>
    </w:p>
    <w:p w14:paraId="27B9C9A1">
      <w:pPr>
        <w:adjustRightInd w:val="0"/>
        <w:snapToGrid w:val="0"/>
        <w:spacing w:line="400" w:lineRule="exact"/>
        <w:ind w:firstLine="482" w:firstLineChars="200"/>
        <w:rPr>
          <w:rFonts w:hint="eastAsia" w:ascii="宋体" w:hAnsi="宋体" w:cs="宋体"/>
          <w:b/>
          <w:sz w:val="24"/>
          <w:highlight w:val="none"/>
        </w:rPr>
      </w:pPr>
      <w:r>
        <w:rPr>
          <w:rFonts w:hint="eastAsia" w:ascii="宋体" w:hAnsi="宋体" w:cs="宋体"/>
          <w:b/>
          <w:bCs/>
          <w:sz w:val="24"/>
          <w:highlight w:val="none"/>
        </w:rPr>
        <w:t>2.</w:t>
      </w:r>
      <w:r>
        <w:rPr>
          <w:rFonts w:hint="eastAsia" w:ascii="宋体" w:hAnsi="宋体"/>
          <w:b/>
          <w:bCs/>
          <w:sz w:val="24"/>
          <w:highlight w:val="none"/>
        </w:rPr>
        <w:t>投标保证金：</w:t>
      </w:r>
      <w:r>
        <w:rPr>
          <w:rFonts w:hint="eastAsia" w:ascii="宋体" w:hAnsi="宋体" w:cs="宋体"/>
          <w:b/>
          <w:bCs/>
          <w:sz w:val="24"/>
          <w:szCs w:val="24"/>
          <w:highlight w:val="none"/>
        </w:rPr>
        <w:t>本项目投标保证金为</w:t>
      </w:r>
      <w:r>
        <w:rPr>
          <w:rFonts w:hint="eastAsia" w:ascii="宋体" w:hAnsi="宋体" w:cs="宋体"/>
          <w:b/>
          <w:bCs/>
          <w:sz w:val="24"/>
          <w:szCs w:val="24"/>
          <w:highlight w:val="none"/>
          <w:u w:val="single"/>
        </w:rPr>
        <w:t xml:space="preserve"> 1500元 </w:t>
      </w:r>
      <w:r>
        <w:rPr>
          <w:rFonts w:hint="eastAsia" w:ascii="宋体" w:hAnsi="宋体" w:cs="宋体"/>
          <w:sz w:val="24"/>
          <w:szCs w:val="24"/>
          <w:highlight w:val="none"/>
        </w:rPr>
        <w:t>，</w:t>
      </w:r>
      <w:r>
        <w:rPr>
          <w:rFonts w:hint="eastAsia" w:ascii="宋体" w:hAnsi="宋体"/>
          <w:b/>
          <w:bCs/>
          <w:sz w:val="24"/>
          <w:szCs w:val="24"/>
          <w:highlight w:val="none"/>
        </w:rPr>
        <w:t>（提交方式为银行汇票或银行转账，转账或汇票需备注项目名称）</w:t>
      </w:r>
      <w:r>
        <w:rPr>
          <w:rFonts w:hint="eastAsia" w:ascii="宋体" w:hAnsi="宋体" w:cs="宋体"/>
          <w:b/>
          <w:sz w:val="24"/>
          <w:highlight w:val="none"/>
        </w:rPr>
        <w:t>。</w:t>
      </w:r>
    </w:p>
    <w:p w14:paraId="3FB3AFF7">
      <w:pPr>
        <w:adjustRightInd w:val="0"/>
        <w:snapToGrid w:val="0"/>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本项目投标保证金如采用银行汇票或转账缴纳（汇票或转账需备注项目名称），投标人必须以企业法人的名义从法人基本存款帐户缴纳，否则不予接受（以个人、企业的办事处、分公司、子公司名义或从他人帐户、投标人企业的其他账户缴纳的投标保证金无效）。</w:t>
      </w:r>
    </w:p>
    <w:p w14:paraId="46EB20B9">
      <w:p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收款单位: 江苏如东洋口港经济开发区财政局；账号:10712801040002081</w:t>
      </w:r>
    </w:p>
    <w:p w14:paraId="619A5CC7">
      <w:p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开户行:中国农业银行如东洋口港分理处</w:t>
      </w:r>
    </w:p>
    <w:p w14:paraId="117A2FD6">
      <w:pPr>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中标后，中标人须在中标通知书发出后3日内缴纳中标价的1</w:t>
      </w:r>
      <w:r>
        <w:rPr>
          <w:rFonts w:ascii="宋体" w:hAnsi="宋体" w:cs="宋体"/>
          <w:b/>
          <w:bCs/>
          <w:sz w:val="24"/>
          <w:szCs w:val="24"/>
          <w:highlight w:val="none"/>
        </w:rPr>
        <w:t>0</w:t>
      </w:r>
      <w:r>
        <w:rPr>
          <w:rFonts w:hint="eastAsia" w:ascii="宋体" w:hAnsi="宋体" w:cs="宋体"/>
          <w:b/>
          <w:bCs/>
          <w:sz w:val="24"/>
          <w:szCs w:val="24"/>
          <w:highlight w:val="none"/>
        </w:rPr>
        <w:t>%作为履约保证金（接收账户为招标人指定账户）。</w:t>
      </w:r>
      <w:r>
        <w:rPr>
          <w:rFonts w:hint="eastAsia" w:ascii="宋体" w:hAnsi="宋体" w:cs="宋体"/>
          <w:sz w:val="24"/>
          <w:szCs w:val="24"/>
          <w:highlight w:val="none"/>
        </w:rPr>
        <w:t>中标单位负责看护拆除项目用地，确保拆除地块不出现新建筑物、泥土不流失、杜绝种植、养殖、违章搭建等，经验收合格且待业主收回地块后无息退还。</w:t>
      </w:r>
    </w:p>
    <w:p w14:paraId="251BFD80">
      <w:pPr>
        <w:spacing w:line="400" w:lineRule="exact"/>
        <w:ind w:firstLine="482" w:firstLineChars="200"/>
        <w:rPr>
          <w:highlight w:val="none"/>
        </w:rPr>
      </w:pPr>
      <w:r>
        <w:rPr>
          <w:rFonts w:hint="eastAsia" w:ascii="宋体" w:hAnsi="宋体" w:cs="宋体"/>
          <w:b/>
          <w:bCs/>
          <w:sz w:val="24"/>
          <w:szCs w:val="24"/>
          <w:highlight w:val="none"/>
        </w:rPr>
        <w:t>中标人的投标保证金在按规定缴纳后领取中标通知书及缴纳履约保证金并签订合同（合同须至区交易中心备案）后</w:t>
      </w:r>
      <w:r>
        <w:rPr>
          <w:rFonts w:hint="eastAsia" w:ascii="宋体" w:hAnsi="宋体" w:cs="宋体"/>
          <w:b/>
          <w:bCs/>
          <w:color w:val="333333"/>
          <w:sz w:val="24"/>
          <w:szCs w:val="24"/>
          <w:highlight w:val="none"/>
        </w:rPr>
        <w:t>，</w:t>
      </w:r>
      <w:r>
        <w:rPr>
          <w:rFonts w:hint="eastAsia" w:ascii="宋体" w:hAnsi="宋体" w:cs="宋体"/>
          <w:b/>
          <w:bCs/>
          <w:sz w:val="24"/>
          <w:szCs w:val="24"/>
          <w:highlight w:val="none"/>
        </w:rPr>
        <w:t>予以退还(无息)。其余未成交投标人的投标保证金在评标结束后全部退还（无息）。</w:t>
      </w:r>
    </w:p>
    <w:p w14:paraId="7539EAF0">
      <w:pPr>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七.投标报价方式</w:t>
      </w:r>
    </w:p>
    <w:p w14:paraId="7BFEE285">
      <w:pPr>
        <w:adjustRightInd w:val="0"/>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项目为固定总价报价，投标人的投标报价是作出能够上交的在招标文件规定的拆迁范围内的所有拆除物的净残值的报价。净残值就是拆下的材料出售收入减去直接拆除成本（含渣土处置费、扬尘费）、风险成本、管理费、利润、税金等以后的剩余价值（并且包含拆除后的垃圾清运、平整、安全等一切费用）。</w:t>
      </w:r>
    </w:p>
    <w:p w14:paraId="686FCF91">
      <w:pPr>
        <w:pStyle w:val="2"/>
        <w:spacing w:line="400" w:lineRule="exact"/>
        <w:ind w:firstLine="480" w:firstLineChars="200"/>
        <w:rPr>
          <w:rFonts w:hint="eastAsia" w:ascii="宋体" w:hAnsi="宋体"/>
          <w:color w:val="000000"/>
          <w:sz w:val="24"/>
          <w:highlight w:val="none"/>
        </w:rPr>
      </w:pPr>
      <w:r>
        <w:rPr>
          <w:rFonts w:hint="eastAsia" w:ascii="宋体" w:hAnsi="宋体" w:cs="宋体"/>
          <w:color w:val="000000"/>
          <w:sz w:val="24"/>
          <w:highlight w:val="none"/>
        </w:rPr>
        <w:t>投标人应</w:t>
      </w:r>
      <w:r>
        <w:rPr>
          <w:rFonts w:hint="eastAsia" w:ascii="宋体" w:hAnsi="宋体" w:cs="宋体"/>
          <w:sz w:val="24"/>
          <w:highlight w:val="none"/>
        </w:rPr>
        <w:t>自行踏勘本拆除项目的现状，</w:t>
      </w:r>
      <w:r>
        <w:rPr>
          <w:rFonts w:hint="eastAsia" w:ascii="宋体" w:hAnsi="宋体"/>
          <w:color w:val="000000"/>
          <w:sz w:val="24"/>
          <w:highlight w:val="none"/>
        </w:rPr>
        <w:t>报价为已减去材料费、</w:t>
      </w:r>
      <w:r>
        <w:rPr>
          <w:rFonts w:hint="eastAsia" w:ascii="宋体" w:hAnsi="宋体"/>
          <w:color w:val="000000"/>
          <w:sz w:val="24"/>
          <w:highlight w:val="none"/>
          <w:lang w:val="en-US" w:eastAsia="zh-CN"/>
        </w:rPr>
        <w:t>报名费、专家评审费、</w:t>
      </w:r>
      <w:r>
        <w:rPr>
          <w:rFonts w:hint="eastAsia" w:ascii="宋体" w:hAnsi="宋体"/>
          <w:color w:val="000000"/>
          <w:sz w:val="24"/>
          <w:highlight w:val="none"/>
        </w:rPr>
        <w:t>人工费、机械费、机械二次进场费、利润、管理费、税金、规费、风险费以及完成相应工作内容的措施项目费、安全（含保险费）及防护费用、施工现场清理及垃圾清运费用、等等的总价。</w:t>
      </w:r>
      <w:r>
        <w:rPr>
          <w:rFonts w:hint="eastAsia" w:ascii="宋体" w:hAnsi="宋体" w:cs="宋体"/>
          <w:color w:val="000000"/>
          <w:sz w:val="24"/>
          <w:highlight w:val="none"/>
        </w:rPr>
        <w:t>同时，投标报价也应考虑合同履行过程中可能发生的一切风险，结算时成交价不作调整。</w:t>
      </w:r>
    </w:p>
    <w:p w14:paraId="03A853C8">
      <w:pPr>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八.其它说明</w:t>
      </w:r>
    </w:p>
    <w:p w14:paraId="142CF91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1.无论本次招标的过程和结果如何，投标人自行承担所有与本次招标有关的全部费用。</w:t>
      </w:r>
    </w:p>
    <w:p w14:paraId="0CFDFB2C">
      <w:pPr>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2、中标人在中标公示期满后3日内须按规定在本项目所在地(如东县洋口港经济开发区)领取中标通知书，在中标通知书发出后3日内缴纳中标价的10%，作为履约保证金，履约保证金提交形式为银行转账(接收账户为招标人指定账户)，履约保证金在项目完成验收合格后退还，中标人也可选择用于抵扣等额合同款；中标人在中标通知书发出后 10日内与采购人签订合同；中标人在中标通知书发出后14日内将与采购人签订的合同原件递交区交易中心进行备案；若中标人因自身原因未能按上述时间节点办理以上相关手续并因此影响项目实施进程，甚至给招标人造成恶劣影响或损失，则视为违约，招标人及区公共资源交易中心将视情节恶劣程度有权作出“取消中标资格或没收投标保证金或列入非诚信企业黑名单”等相关处罚措施。</w:t>
      </w:r>
    </w:p>
    <w:p w14:paraId="255B7B71">
      <w:pPr>
        <w:spacing w:line="400" w:lineRule="exact"/>
        <w:ind w:firstLine="480" w:firstLineChars="200"/>
        <w:rPr>
          <w:rFonts w:hint="eastAsia" w:ascii="宋体" w:hAnsi="宋体" w:cs="宋体"/>
          <w:b/>
          <w:sz w:val="24"/>
          <w:highlight w:val="none"/>
          <w:lang w:val="zh-CN"/>
        </w:rPr>
      </w:pPr>
      <w:r>
        <w:rPr>
          <w:rFonts w:hint="eastAsia" w:ascii="宋体" w:hAnsi="宋体" w:cs="宋体"/>
          <w:sz w:val="24"/>
          <w:highlight w:val="none"/>
        </w:rPr>
        <w:t>3</w:t>
      </w:r>
      <w:r>
        <w:rPr>
          <w:rFonts w:hint="eastAsia" w:ascii="宋体" w:hAnsi="宋体" w:cs="宋体"/>
          <w:b/>
          <w:sz w:val="24"/>
          <w:highlight w:val="none"/>
        </w:rPr>
        <w:t>、</w:t>
      </w:r>
      <w:r>
        <w:rPr>
          <w:rFonts w:hint="eastAsia" w:ascii="宋体" w:hAnsi="宋体" w:cs="宋体"/>
          <w:b/>
          <w:sz w:val="24"/>
          <w:highlight w:val="none"/>
          <w:lang w:val="zh-CN"/>
        </w:rPr>
        <w:t>中标人</w:t>
      </w:r>
      <w:r>
        <w:rPr>
          <w:rFonts w:hint="eastAsia" w:ascii="宋体" w:hAnsi="宋体" w:cs="宋体"/>
          <w:b/>
          <w:snapToGrid w:val="0"/>
          <w:sz w:val="24"/>
          <w:highlight w:val="none"/>
        </w:rPr>
        <w:t>应根据国家、省、市、工程所在地政府及相关部门的规定缴纳有关费用，该费用中标人自行纳入报价考虑自行承担，费用缴纳的标准</w:t>
      </w:r>
      <w:r>
        <w:rPr>
          <w:rFonts w:hint="eastAsia" w:ascii="宋体" w:hAnsi="宋体" w:cs="宋体"/>
          <w:b/>
          <w:sz w:val="24"/>
          <w:highlight w:val="none"/>
          <w:lang w:val="zh-CN"/>
        </w:rPr>
        <w:t>成交供应商</w:t>
      </w:r>
      <w:r>
        <w:rPr>
          <w:rFonts w:hint="eastAsia" w:ascii="宋体" w:hAnsi="宋体" w:cs="宋体"/>
          <w:b/>
          <w:snapToGrid w:val="0"/>
          <w:sz w:val="24"/>
          <w:highlight w:val="none"/>
        </w:rPr>
        <w:t>可向有关部门查询。</w:t>
      </w:r>
    </w:p>
    <w:p w14:paraId="2A0CBB6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、投标人如对本采购</w:t>
      </w:r>
      <w:r>
        <w:rPr>
          <w:rFonts w:hint="eastAsia" w:ascii="宋体" w:hAnsi="宋体" w:cs="宋体"/>
          <w:sz w:val="24"/>
          <w:highlight w:val="none"/>
        </w:rPr>
        <w:t>文件中的需求有疑问或不明之处，可与采购人联系，采购人对采购项目需求有解释权。</w:t>
      </w:r>
    </w:p>
    <w:p w14:paraId="48C87CFD">
      <w:pPr>
        <w:spacing w:line="400" w:lineRule="exact"/>
        <w:ind w:firstLine="480" w:firstLineChars="200"/>
        <w:rPr>
          <w:rFonts w:hint="eastAsia"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投标人或中标人有下列情形之一的，其投标保证金不予退还并按本采购文件及《中华人民共和国招标投标法》等相关法律法规给予处罚：①在招标过程中，投标人有违法违规行为的；②投标人在投标有效期内撤回投标的；③中标人放弃中标资格的；④中标人不按规定签定合同的；⑤投标人或中标人有违反“投标诚信承诺书”承诺约定的⑥投标人或中标人有其他违反本采购文件及《中华人民共和国</w:t>
      </w:r>
      <w:r>
        <w:rPr>
          <w:rFonts w:hint="eastAsia" w:ascii="宋体" w:hAnsi="宋体" w:cs="宋体"/>
          <w:sz w:val="24"/>
          <w:highlight w:val="none"/>
        </w:rPr>
        <w:t>政府采购法</w:t>
      </w:r>
      <w:r>
        <w:rPr>
          <w:rFonts w:hint="eastAsia" w:ascii="宋体" w:hAnsi="宋体" w:cs="宋体"/>
          <w:sz w:val="24"/>
          <w:highlight w:val="none"/>
          <w:lang w:val="zh-CN"/>
        </w:rPr>
        <w:t>》等相关法律法规的行为的。</w:t>
      </w:r>
    </w:p>
    <w:p w14:paraId="3D79577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6、采购方不解释落标原因，不退还投标文件。</w:t>
      </w:r>
    </w:p>
    <w:p w14:paraId="6B259CE6">
      <w:pPr>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九、投标文件的递交</w:t>
      </w:r>
    </w:p>
    <w:p w14:paraId="68FE801B">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1.投标文件的密封与标志</w:t>
      </w:r>
    </w:p>
    <w:p w14:paraId="6A796133">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1.1  投标人必须自行将完整的“资格审查文件”、“商务标”以PDF 格式上传至系统内相应位置，具体操作流程详见《招投标系统操作手册（投标人）》。</w:t>
      </w:r>
    </w:p>
    <w:p w14:paraId="425F5626">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1.2 投标人中标后，必须提供伍份使用系统打印出来的完整的投标文件交招标代理【其中，正本壹份，副本肆份（含电子档一份）】。</w:t>
      </w:r>
    </w:p>
    <w:p w14:paraId="3AA04CD2">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2.投标截止时间</w:t>
      </w:r>
    </w:p>
    <w:p w14:paraId="57068154">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投标人的授权委托人须在前附表第18 项规定的投标文件递交截止时间之前将投标文件自行递交至系统对应位置。</w:t>
      </w:r>
    </w:p>
    <w:p w14:paraId="60F0C5D4">
      <w:pPr>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十、开标、评标、定标</w:t>
      </w:r>
    </w:p>
    <w:p w14:paraId="34D62981">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1.本工程评标、定标办法采用价格单因素计分法。</w:t>
      </w:r>
    </w:p>
    <w:p w14:paraId="43367536">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评标方法的具体做法参见第二章。</w:t>
      </w:r>
    </w:p>
    <w:p w14:paraId="2E7D2386">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2．评标委员会</w:t>
      </w:r>
    </w:p>
    <w:p w14:paraId="0D97A667">
      <w:pPr>
        <w:widowControl/>
        <w:adjustRightInd w:val="0"/>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评标由招标人依法组建的评标委员会负责。评标委员会由招标人代表，以及有关技术、经济等方面的专家组成。</w:t>
      </w:r>
    </w:p>
    <w:p w14:paraId="301957DC">
      <w:pPr>
        <w:widowControl/>
        <w:adjustRightInd w:val="0"/>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招标机构的人员不得担任其代理招标项目的评标委员会成员。</w:t>
      </w:r>
    </w:p>
    <w:p w14:paraId="35D7962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3.评标委员会应当审查每一投标文件是否对招标文件提出的所有实质性要求和条件作出响应。</w:t>
      </w:r>
    </w:p>
    <w:p w14:paraId="140C080A">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4.凡投标文件有下列情况之一的，属于重大偏差，视同未能对招标文件作出实质性响应，按废标处理。</w:t>
      </w:r>
    </w:p>
    <w:p w14:paraId="3C6AC228">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（1）投标人未按本招标文件要求提供投标文件，或投标文件未按要求密封、标记的；</w:t>
      </w:r>
    </w:p>
    <w:p w14:paraId="66A7481A">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（2）投标人资格证明文件不符合本招标文件要求的；</w:t>
      </w:r>
    </w:p>
    <w:p w14:paraId="3A8609E7">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（3）投标文件未按本招标文件规定的格式制作的；</w:t>
      </w:r>
    </w:p>
    <w:p w14:paraId="4336B171">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（4）投标文件未按本招标文件要求盖章及签署的；</w:t>
      </w:r>
    </w:p>
    <w:p w14:paraId="244223AE">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（5）投标人提供虚假、伪造、过期资料的；</w:t>
      </w:r>
    </w:p>
    <w:p w14:paraId="185F85B5">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（6）报价资料漏项、字迹模糊，无法辩认的；</w:t>
      </w:r>
    </w:p>
    <w:p w14:paraId="23992CC6">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（7）投标报价低于招标控制价和控制单价的；</w:t>
      </w:r>
    </w:p>
    <w:p w14:paraId="46576E5D">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（8）投标人改变本采购文件提供的清单中的计量单位、数量的；</w:t>
      </w:r>
    </w:p>
    <w:p w14:paraId="2331B5BC">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（9）投标文件提出了不能满足本招标文件要求或招标人不能接受的工程验收、计量、价款结算支付办法；</w:t>
      </w:r>
    </w:p>
    <w:p w14:paraId="4515BFDE">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（10）报价资料中有两个或两个以上报价的；</w:t>
      </w:r>
    </w:p>
    <w:p w14:paraId="6E6E87EE">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（11）投标人未按本招标文件要求提供电子投标文件；</w:t>
      </w:r>
    </w:p>
    <w:p w14:paraId="21619EF6">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（12）没有按规定缴纳投标保证金的；</w:t>
      </w:r>
    </w:p>
    <w:p w14:paraId="391C139E">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（13）投标文件未对招标文件作出实质性响应的；</w:t>
      </w:r>
    </w:p>
    <w:p w14:paraId="05295C7C">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（14）投标文件违反法律、法规要求，或本招标文件中另有规定为无效投标情形的；</w:t>
      </w:r>
    </w:p>
    <w:p w14:paraId="1ECDAA7C">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（15）不同投标人委托同一自然人进行投标的；</w:t>
      </w:r>
    </w:p>
    <w:p w14:paraId="53121BAE">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（16）投标文件资料不全或内容偏离本招标文件规定，评标委员认为未对招标文件作出实质性响应的；</w:t>
      </w:r>
    </w:p>
    <w:p w14:paraId="78BCCABC">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17）不同投标人的投标文件以及投标文件制作过程出现了评标委员会认为不应当雷同的情况的，废标并没收其投标保证金，招标人及监管部门将视情节轻重列入非诚信企业黑名单，取消在洋口港经济开发区1-3年的依法必须进行招标项目的投标资格；</w:t>
      </w:r>
    </w:p>
    <w:p w14:paraId="7DBA770B">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18）以他人的名义投标、串通投标、以行贿手段谋取中标或者以其他弄虚作假方式投标的；废标并没收其投标保证金，招标人及监管部门将视情节轻重列入非诚信企业黑名单，取消在洋口港经济开发区1-3年的依法必须进行招标项目的投标资格；</w:t>
      </w:r>
    </w:p>
    <w:p w14:paraId="7575DECC">
      <w:pPr>
        <w:widowControl/>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19）不同单位的投标经办人若为近亲关系的（父母、夫妻、子女等),视为串标行为，废标并没收其投标保证金，招标人及监管部门将视情节轻重列入非诚信企业黑名单，取消在洋口港经济开发区1-3年的依法必须进行招标项目的投标资格；</w:t>
      </w:r>
    </w:p>
    <w:p w14:paraId="3F32BCDF">
      <w:pPr>
        <w:widowControl/>
        <w:spacing w:line="36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（20）若中标人放弃中标的，则没收投标保证金及履约保证金，招标人及监管部门将视情节轻重列入非诚信企业黑名单，取消在洋口港经济开发区1-3年的依法必须进行招标项目的投标资格。</w:t>
      </w:r>
    </w:p>
    <w:p w14:paraId="2A3F7032">
      <w:pPr>
        <w:widowControl/>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5.评标、定标工作在相关监督部门的监督下由招标人组织进行。</w:t>
      </w:r>
    </w:p>
    <w:p w14:paraId="4921C9F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6.投标文件的澄清</w:t>
      </w:r>
    </w:p>
    <w:p w14:paraId="3A5AA8B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在评标过程中，评标委员会认为需要，在监督人员在场的情况下，可以书面形式要求投标人对投标文件中的有关问题进行澄清或提供补充说明及有关资料，投标人应作出书面答复。书面答复中不得有变更价格、工期、自报质量等级等实质性内容。</w:t>
      </w:r>
    </w:p>
    <w:p w14:paraId="25692C6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36F4E7E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评标委员会在对实质性响应招标文件要求的投标进行报价评估时，当发现投标文件中的大写金额与小写金额不一致或总价金额与单价不一致的，可视同在一份投标文件中对同一招标项目报有两个或多个报价作废标处理；当对不同文字文本投标文件的解释发生异议的，可视同投标人递交两份或多份内容不同的投标文件作废标处理。</w:t>
      </w:r>
    </w:p>
    <w:p w14:paraId="6756978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8.在投标文件的审查、澄清、评价和比较以及授予合同的过程中，投标人对招标人和评标组织成员施加影响的任何行为，都将导致取消其中标资格。</w:t>
      </w:r>
    </w:p>
    <w:p w14:paraId="04AB7B9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9.评标委员会在评标工作完成后，将在评标报告之外按照统一格式公布下列评标结果公开的内容，在中标结果公示的同时一并在洋口港官方网站和如东县限额交易网公布，公布的时间为三日。</w:t>
      </w:r>
    </w:p>
    <w:p w14:paraId="1C8DBFAE">
      <w:pPr>
        <w:spacing w:line="400" w:lineRule="exact"/>
        <w:ind w:firstLine="482" w:firstLineChars="200"/>
        <w:rPr>
          <w:rFonts w:hint="eastAsia" w:ascii="宋体" w:hAnsi="宋体" w:cs="宋体"/>
          <w:b/>
          <w:sz w:val="24"/>
          <w:highlight w:val="none"/>
        </w:rPr>
      </w:pPr>
      <w:bookmarkStart w:id="5" w:name="_Toc320622509"/>
      <w:bookmarkEnd w:id="5"/>
      <w:r>
        <w:rPr>
          <w:rFonts w:hint="eastAsia" w:ascii="宋体" w:hAnsi="宋体" w:cs="宋体"/>
          <w:b/>
          <w:sz w:val="24"/>
          <w:highlight w:val="none"/>
        </w:rPr>
        <w:t>十一、授予合同</w:t>
      </w:r>
    </w:p>
    <w:p w14:paraId="3ADC45B2">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1.定标后，招标人在15日内向洋口港经济开发区公共资源交易中心提交施工招投标情况的书面报告，书面报告应包括下列内容：</w:t>
      </w:r>
    </w:p>
    <w:p w14:paraId="2C310567">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1.1 施工招标投标的基本情况，包括施工招标范围、施工招标方式、资格审查、开标评标过程和确定中标人的方式及理由等。</w:t>
      </w:r>
    </w:p>
    <w:p w14:paraId="577199D5">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1.2 相关的文件资料包括招标公告或者投标邀请书、投标报名表、资格审查文件、招标文件、评标委员会的评标报告(应当附招标控制价组成文件)、中标人的投标文件。委托工程招标代理的，应当附工程施工招标代理委托合同。单独委托编制招标控制价的，还应当附招标控制价编制委托合同。</w:t>
      </w:r>
    </w:p>
    <w:p w14:paraId="3F175C03">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w:t>
      </w:r>
      <w:bookmarkStart w:id="6" w:name="_Toc241782539"/>
      <w:bookmarkEnd w:id="6"/>
      <w:r>
        <w:rPr>
          <w:rFonts w:hint="eastAsia" w:ascii="宋体" w:hAnsi="宋体"/>
          <w:sz w:val="24"/>
          <w:szCs w:val="24"/>
          <w:highlight w:val="none"/>
        </w:rPr>
        <w:t>履约保证金</w:t>
      </w:r>
    </w:p>
    <w:p w14:paraId="6B707FBD">
      <w:pPr>
        <w:adjustRightInd w:val="0"/>
        <w:snapToGrid w:val="0"/>
        <w:spacing w:line="420" w:lineRule="exact"/>
        <w:ind w:firstLine="482" w:firstLineChars="200"/>
        <w:rPr>
          <w:rFonts w:hint="eastAsia" w:ascii="宋体" w:hAnsi="宋体"/>
          <w:b/>
          <w:sz w:val="24"/>
          <w:szCs w:val="24"/>
          <w:highlight w:val="none"/>
        </w:rPr>
      </w:pPr>
      <w:r>
        <w:rPr>
          <w:rFonts w:hint="eastAsia" w:ascii="宋体" w:hAnsi="宋体"/>
          <w:b/>
          <w:sz w:val="24"/>
          <w:szCs w:val="24"/>
          <w:highlight w:val="none"/>
        </w:rPr>
        <w:t>中标人在中标公示期满后3日内须按规定在本项目所在地(如东县洋口港经济开发区)领取中标通知书，在中标通知书发出后3日内缴纳中标价的10%，作为履约保证金，履约保证金提交形式为银行转账(接收账户为招标人指定账户)，履约保证金在项目完成验收合格后退还，中标人也可选择用于抵扣等额合同款；中标人在中标通知书发出后 10日内与采购人签订合同；中标人在中标通知书发出后14日内将与采购人签订的合同原件递交区交易中心进行备案；若中标人因自身原因未能按上述时间节点办理以上相关手续并因此影响项目实施进程，甚至给招标人造成恶劣影响或损失，则视为违约，招标人及区公共资源交易中心将视情节恶劣程度有权作出“取消中标资格，没收投标保证金金及履约保证金，并视情节轻重列入非诚信企业黑名单，取消在洋口港经济开发区1-3年的依法必须进行招标项目的投标资格”等相关处罚措施。</w:t>
      </w:r>
    </w:p>
    <w:p w14:paraId="21DE867C">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3.若中标人不能按本须知第29条款的规定执行</w:t>
      </w:r>
      <w:r>
        <w:rPr>
          <w:rFonts w:hint="eastAsia" w:ascii="宋体" w:hAnsi="宋体"/>
          <w:b/>
          <w:bCs/>
          <w:sz w:val="24"/>
          <w:szCs w:val="24"/>
          <w:highlight w:val="none"/>
        </w:rPr>
        <w:t>，招标人将有充分的理由拒绝与其签订施工合同并取消其中标资格，并没收其投标保证金，</w:t>
      </w:r>
      <w:r>
        <w:rPr>
          <w:rFonts w:hint="eastAsia" w:ascii="宋体" w:hAnsi="宋体"/>
          <w:sz w:val="24"/>
          <w:szCs w:val="24"/>
          <w:highlight w:val="none"/>
        </w:rPr>
        <w:t>给招标人造成损失超过投标保证金数额的，还应当对超过部分予以赔偿。</w:t>
      </w:r>
    </w:p>
    <w:p w14:paraId="7F58D391">
      <w:pPr>
        <w:adjustRightInd w:val="0"/>
        <w:snapToGrid w:val="0"/>
        <w:spacing w:line="420" w:lineRule="exact"/>
        <w:ind w:firstLine="482" w:firstLineChars="200"/>
        <w:rPr>
          <w:rFonts w:hint="eastAsia" w:ascii="宋体" w:hAnsi="宋体"/>
          <w:sz w:val="24"/>
          <w:szCs w:val="24"/>
          <w:highlight w:val="none"/>
        </w:rPr>
      </w:pPr>
      <w:r>
        <w:rPr>
          <w:rFonts w:hint="eastAsia" w:ascii="宋体" w:hAnsi="宋体"/>
          <w:b/>
          <w:bCs/>
          <w:sz w:val="24"/>
          <w:szCs w:val="24"/>
          <w:highlight w:val="none"/>
        </w:rPr>
        <w:t>4.中标人在中标通知书发出后14日内，</w:t>
      </w:r>
      <w:r>
        <w:rPr>
          <w:rFonts w:hint="eastAsia" w:ascii="宋体" w:hAnsi="宋体"/>
          <w:sz w:val="24"/>
          <w:szCs w:val="24"/>
          <w:highlight w:val="none"/>
        </w:rPr>
        <w:t>中标人必须将合同报江苏省洋口港经济开发区公共资源交易中心备案，合同备案包括施工现场项目部人员名单和岗位、职责、身份证等信息。</w:t>
      </w:r>
    </w:p>
    <w:p w14:paraId="72121062">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5.中标人在中标后和施工期间不得随意变更中标项目负责人。如果出现特殊情况，确需更换的，应当经招标人同意，并提供必要的证明文件报江苏省洋口港经济开发区公共资源交易中心备案。</w:t>
      </w:r>
    </w:p>
    <w:p w14:paraId="46E5BCD6">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注：自备案之日起至原合同期满止，原中标项目负责人不得作为项目负责人承接其他工程，如备案之日至原合同工期期满之日不足六个月，则限制其承接工程的期限为六个月。</w:t>
      </w:r>
    </w:p>
    <w:p w14:paraId="0F0D8BA2">
      <w:pPr>
        <w:adjustRightInd w:val="0"/>
        <w:snapToGrid w:val="0"/>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洋口港经济开发区公共资源交易中心将在备案手续上注明限制承接工程的起止日期，并在办理备案手续之日起的三个工作日内将项目负责人变更情况、限制承接的期限给予公布。</w:t>
      </w:r>
    </w:p>
    <w:p w14:paraId="16AADF1A">
      <w:pPr>
        <w:adjustRightInd w:val="0"/>
        <w:snapToGrid w:val="0"/>
        <w:spacing w:line="420" w:lineRule="exact"/>
        <w:ind w:firstLine="482" w:firstLineChars="200"/>
        <w:rPr>
          <w:rFonts w:hint="eastAsia" w:ascii="宋体" w:hAnsi="宋体"/>
          <w:b/>
          <w:sz w:val="24"/>
          <w:szCs w:val="24"/>
          <w:highlight w:val="none"/>
        </w:rPr>
      </w:pPr>
      <w:r>
        <w:rPr>
          <w:rFonts w:hint="eastAsia" w:ascii="宋体" w:hAnsi="宋体"/>
          <w:b/>
          <w:sz w:val="24"/>
          <w:szCs w:val="24"/>
          <w:highlight w:val="none"/>
        </w:rPr>
        <w:t>6.投标人或中标人有下列情形之一的，其投标保证金不予退还并按本招标文件及《中华人民共和国招标投标法》等相关法律法规给予处罚：①在招标过程中，投标人有违法违规行为的；②投标人在投标有效期内撤回投标的；③中标人放弃中标资格的；④中标人不按规定签定合同的；⑤投标人或中标人有违反“投标诚信承诺书”承诺约定的⑥投标人或中标人有其他违反本招标文件及《中华人民共和国招标投标法》等相关法律法规的行为的。</w:t>
      </w:r>
    </w:p>
    <w:p w14:paraId="1545D518">
      <w:pPr>
        <w:spacing w:line="420" w:lineRule="exact"/>
        <w:jc w:val="center"/>
        <w:rPr>
          <w:rFonts w:hint="eastAsia" w:ascii="宋体" w:hAnsi="宋体" w:cs="宋体"/>
          <w:b/>
          <w:bCs/>
          <w:sz w:val="28"/>
          <w:szCs w:val="28"/>
          <w:highlight w:val="none"/>
        </w:rPr>
      </w:pPr>
    </w:p>
    <w:p w14:paraId="092E01DC">
      <w:pPr>
        <w:spacing w:line="420" w:lineRule="exact"/>
        <w:jc w:val="center"/>
        <w:rPr>
          <w:rFonts w:hint="eastAsia" w:ascii="宋体" w:hAnsi="宋体" w:cs="宋体"/>
          <w:b/>
          <w:bCs/>
          <w:sz w:val="28"/>
          <w:szCs w:val="28"/>
          <w:highlight w:val="none"/>
        </w:rPr>
      </w:pPr>
    </w:p>
    <w:p w14:paraId="26CFE6B4">
      <w:pPr>
        <w:spacing w:line="420" w:lineRule="exact"/>
        <w:jc w:val="center"/>
        <w:rPr>
          <w:rFonts w:hint="eastAsia" w:ascii="宋体" w:hAnsi="宋体" w:cs="宋体"/>
          <w:b/>
          <w:bCs/>
          <w:sz w:val="28"/>
          <w:szCs w:val="28"/>
          <w:highlight w:val="none"/>
        </w:rPr>
      </w:pPr>
    </w:p>
    <w:p w14:paraId="3633DC1E">
      <w:pPr>
        <w:spacing w:line="420" w:lineRule="exact"/>
        <w:jc w:val="center"/>
        <w:rPr>
          <w:rFonts w:hint="eastAsia" w:ascii="宋体" w:hAnsi="宋体" w:cs="宋体"/>
          <w:b/>
          <w:bCs/>
          <w:sz w:val="28"/>
          <w:szCs w:val="28"/>
          <w:highlight w:val="none"/>
        </w:rPr>
      </w:pPr>
    </w:p>
    <w:p w14:paraId="45CD76F6">
      <w:pPr>
        <w:spacing w:line="420" w:lineRule="exact"/>
        <w:jc w:val="center"/>
        <w:rPr>
          <w:rFonts w:hint="eastAsia" w:ascii="宋体" w:hAnsi="宋体" w:cs="宋体"/>
          <w:b/>
          <w:bCs/>
          <w:sz w:val="28"/>
          <w:szCs w:val="28"/>
          <w:highlight w:val="none"/>
        </w:rPr>
      </w:pPr>
    </w:p>
    <w:p w14:paraId="547AEF39">
      <w:pPr>
        <w:spacing w:line="420" w:lineRule="exact"/>
        <w:jc w:val="center"/>
        <w:rPr>
          <w:rFonts w:hint="eastAsia" w:ascii="宋体" w:hAnsi="宋体" w:cs="宋体"/>
          <w:b/>
          <w:bCs/>
          <w:sz w:val="28"/>
          <w:szCs w:val="28"/>
          <w:highlight w:val="none"/>
        </w:rPr>
      </w:pPr>
    </w:p>
    <w:p w14:paraId="63572AC6">
      <w:pPr>
        <w:spacing w:line="420" w:lineRule="exact"/>
        <w:jc w:val="center"/>
        <w:rPr>
          <w:rFonts w:hint="eastAsia" w:ascii="宋体" w:hAnsi="宋体" w:cs="宋体"/>
          <w:b/>
          <w:bCs/>
          <w:sz w:val="28"/>
          <w:szCs w:val="28"/>
          <w:highlight w:val="none"/>
        </w:rPr>
      </w:pPr>
    </w:p>
    <w:p w14:paraId="3DD2562E">
      <w:pPr>
        <w:spacing w:line="420" w:lineRule="exact"/>
        <w:jc w:val="center"/>
        <w:rPr>
          <w:rFonts w:hint="eastAsia" w:ascii="宋体" w:hAnsi="宋体" w:cs="宋体"/>
          <w:b/>
          <w:bCs/>
          <w:sz w:val="28"/>
          <w:szCs w:val="28"/>
          <w:highlight w:val="none"/>
        </w:rPr>
      </w:pPr>
    </w:p>
    <w:p w14:paraId="55662C76">
      <w:pPr>
        <w:spacing w:line="420" w:lineRule="exact"/>
        <w:jc w:val="center"/>
        <w:rPr>
          <w:rFonts w:hint="eastAsia" w:ascii="宋体" w:hAnsi="宋体" w:cs="宋体"/>
          <w:b/>
          <w:bCs/>
          <w:sz w:val="28"/>
          <w:szCs w:val="28"/>
          <w:highlight w:val="none"/>
        </w:rPr>
      </w:pPr>
    </w:p>
    <w:p w14:paraId="42A920E5">
      <w:pPr>
        <w:spacing w:line="420" w:lineRule="exact"/>
        <w:jc w:val="center"/>
        <w:rPr>
          <w:rFonts w:hint="eastAsia" w:ascii="宋体" w:hAnsi="宋体" w:cs="宋体"/>
          <w:b/>
          <w:bCs/>
          <w:sz w:val="28"/>
          <w:szCs w:val="28"/>
          <w:highlight w:val="none"/>
        </w:rPr>
      </w:pPr>
    </w:p>
    <w:p w14:paraId="2F2FD3E8">
      <w:pPr>
        <w:spacing w:line="420" w:lineRule="exact"/>
        <w:jc w:val="center"/>
        <w:rPr>
          <w:rFonts w:hint="eastAsia" w:ascii="宋体" w:hAnsi="宋体" w:cs="宋体"/>
          <w:b/>
          <w:bCs/>
          <w:sz w:val="28"/>
          <w:szCs w:val="28"/>
          <w:highlight w:val="none"/>
        </w:rPr>
      </w:pPr>
    </w:p>
    <w:p w14:paraId="71591185">
      <w:pPr>
        <w:spacing w:line="420" w:lineRule="exact"/>
        <w:jc w:val="center"/>
        <w:rPr>
          <w:rFonts w:hint="eastAsia" w:ascii="宋体" w:hAnsi="宋体" w:cs="宋体"/>
          <w:b/>
          <w:bCs/>
          <w:sz w:val="28"/>
          <w:szCs w:val="28"/>
          <w:highlight w:val="none"/>
        </w:rPr>
      </w:pPr>
    </w:p>
    <w:p w14:paraId="04A99D6C">
      <w:pPr>
        <w:spacing w:line="420" w:lineRule="exact"/>
        <w:jc w:val="center"/>
        <w:rPr>
          <w:rFonts w:hint="eastAsia" w:ascii="宋体" w:hAnsi="宋体" w:cs="宋体"/>
          <w:b/>
          <w:bCs/>
          <w:sz w:val="28"/>
          <w:szCs w:val="28"/>
          <w:highlight w:val="none"/>
        </w:rPr>
      </w:pPr>
    </w:p>
    <w:p w14:paraId="414AE818">
      <w:pPr>
        <w:spacing w:line="420" w:lineRule="exact"/>
        <w:jc w:val="center"/>
        <w:rPr>
          <w:rFonts w:hint="eastAsia" w:ascii="宋体" w:hAnsi="宋体" w:cs="宋体"/>
          <w:b/>
          <w:bCs/>
          <w:sz w:val="28"/>
          <w:szCs w:val="28"/>
          <w:highlight w:val="none"/>
        </w:rPr>
      </w:pPr>
    </w:p>
    <w:p w14:paraId="0929F5FB">
      <w:pPr>
        <w:spacing w:line="420" w:lineRule="exact"/>
        <w:jc w:val="center"/>
        <w:rPr>
          <w:rFonts w:ascii="宋体" w:hAnsi="宋体" w:cs="宋体"/>
          <w:b/>
          <w:bCs/>
          <w:sz w:val="28"/>
          <w:szCs w:val="28"/>
          <w:highlight w:val="none"/>
        </w:rPr>
      </w:pPr>
    </w:p>
    <w:p w14:paraId="3FA5001B">
      <w:pPr>
        <w:pStyle w:val="2"/>
        <w:rPr>
          <w:highlight w:val="none"/>
        </w:rPr>
      </w:pPr>
    </w:p>
    <w:p w14:paraId="3BEDC1D0">
      <w:pPr>
        <w:pStyle w:val="3"/>
        <w:rPr>
          <w:highlight w:val="none"/>
        </w:rPr>
      </w:pPr>
    </w:p>
    <w:p w14:paraId="172139AC">
      <w:pPr>
        <w:pStyle w:val="3"/>
        <w:rPr>
          <w:highlight w:val="none"/>
        </w:rPr>
      </w:pPr>
    </w:p>
    <w:p w14:paraId="642FD1D7">
      <w:pPr>
        <w:pStyle w:val="3"/>
        <w:rPr>
          <w:highlight w:val="none"/>
        </w:rPr>
      </w:pPr>
    </w:p>
    <w:p w14:paraId="14863234">
      <w:pPr>
        <w:pStyle w:val="3"/>
        <w:rPr>
          <w:highlight w:val="none"/>
        </w:rPr>
      </w:pPr>
    </w:p>
    <w:p w14:paraId="7E0E8735">
      <w:pPr>
        <w:pStyle w:val="3"/>
        <w:rPr>
          <w:rFonts w:hint="eastAsia"/>
          <w:highlight w:val="none"/>
        </w:rPr>
      </w:pPr>
    </w:p>
    <w:p w14:paraId="6148C690">
      <w:pPr>
        <w:spacing w:line="420" w:lineRule="exact"/>
        <w:jc w:val="center"/>
        <w:rPr>
          <w:rFonts w:hint="eastAsia" w:ascii="宋体" w:hAnsi="宋体" w:cs="宋体"/>
          <w:b/>
          <w:bCs/>
          <w:sz w:val="28"/>
          <w:szCs w:val="28"/>
          <w:highlight w:val="none"/>
        </w:rPr>
      </w:pPr>
    </w:p>
    <w:p w14:paraId="00CC6E1A">
      <w:pPr>
        <w:spacing w:line="420" w:lineRule="exact"/>
        <w:jc w:val="center"/>
        <w:rPr>
          <w:rFonts w:hint="eastAsia" w:ascii="宋体" w:hAnsi="宋体" w:cs="宋体"/>
          <w:b/>
          <w:bCs/>
          <w:sz w:val="28"/>
          <w:szCs w:val="28"/>
          <w:highlight w:val="none"/>
        </w:rPr>
      </w:pPr>
    </w:p>
    <w:p w14:paraId="7C083A6E">
      <w:pPr>
        <w:spacing w:line="420" w:lineRule="exact"/>
        <w:jc w:val="center"/>
        <w:rPr>
          <w:rFonts w:hint="eastAsia" w:ascii="宋体" w:hAnsi="宋体" w:cs="宋体"/>
          <w:b/>
          <w:bCs/>
          <w:sz w:val="28"/>
          <w:szCs w:val="28"/>
          <w:highlight w:val="none"/>
        </w:rPr>
      </w:pPr>
    </w:p>
    <w:p w14:paraId="66736B89">
      <w:pPr>
        <w:spacing w:line="420" w:lineRule="exact"/>
        <w:jc w:val="center"/>
        <w:rPr>
          <w:rFonts w:hint="eastAsia" w:ascii="宋体" w:hAnsi="宋体" w:cs="宋体"/>
          <w:b/>
          <w:bCs/>
          <w:sz w:val="28"/>
          <w:szCs w:val="28"/>
          <w:highlight w:val="none"/>
        </w:rPr>
      </w:pPr>
    </w:p>
    <w:p w14:paraId="331E34DD">
      <w:pPr>
        <w:spacing w:line="4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第三章  附  件</w:t>
      </w:r>
    </w:p>
    <w:p w14:paraId="15B167E0">
      <w:pPr>
        <w:spacing w:line="640" w:lineRule="exact"/>
        <w:ind w:firstLine="360" w:firstLineChars="150"/>
        <w:rPr>
          <w:rFonts w:hint="eastAsia" w:ascii="宋体" w:hAnsi="宋体" w:cs="宋体"/>
          <w:sz w:val="24"/>
          <w:highlight w:val="none"/>
        </w:rPr>
      </w:pPr>
    </w:p>
    <w:p w14:paraId="20867C85">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附件一：法定代表人身份证明书；</w:t>
      </w:r>
    </w:p>
    <w:p w14:paraId="531476F8">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附件二：法定代表人授权委托书；</w:t>
      </w:r>
    </w:p>
    <w:p w14:paraId="6AA59A51">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 xml:space="preserve">附件三：主要施工管理人员表； </w:t>
      </w:r>
    </w:p>
    <w:p w14:paraId="4A86F1F9">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附件四：计划投入的主要施工机械设备表；</w:t>
      </w:r>
    </w:p>
    <w:p w14:paraId="0A9C945E">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附件五：无在建工程承诺书；</w:t>
      </w:r>
    </w:p>
    <w:p w14:paraId="2FD17F74">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附件六：投标承诺书、投标人诚信承诺书、公共资源交易投标信用承诺书；</w:t>
      </w:r>
    </w:p>
    <w:p w14:paraId="62A0F4B3">
      <w:pPr>
        <w:spacing w:line="640" w:lineRule="exact"/>
        <w:ind w:firstLine="360" w:firstLineChars="150"/>
        <w:rPr>
          <w:rFonts w:hint="eastAsia" w:ascii="宋体" w:hAnsi="宋体" w:cs="宋体"/>
          <w:sz w:val="24"/>
          <w:highlight w:val="none"/>
        </w:rPr>
      </w:pPr>
      <w:r>
        <w:rPr>
          <w:rFonts w:hint="eastAsia" w:ascii="宋体" w:hAnsi="宋体" w:cs="宋体"/>
          <w:sz w:val="24"/>
          <w:highlight w:val="none"/>
        </w:rPr>
        <w:t>附件七：</w:t>
      </w:r>
      <w:r>
        <w:rPr>
          <w:rFonts w:hint="eastAsia" w:ascii="宋体" w:hAnsi="宋体" w:cs="宋体"/>
          <w:bCs/>
          <w:kern w:val="0"/>
          <w:sz w:val="24"/>
          <w:highlight w:val="none"/>
        </w:rPr>
        <w:t>投标报价单</w:t>
      </w:r>
      <w:r>
        <w:rPr>
          <w:rFonts w:hint="eastAsia" w:ascii="宋体" w:hAnsi="宋体" w:cs="宋体"/>
          <w:sz w:val="24"/>
          <w:highlight w:val="none"/>
        </w:rPr>
        <w:t xml:space="preserve"> ；</w:t>
      </w:r>
    </w:p>
    <w:p w14:paraId="572AB78D">
      <w:pPr>
        <w:spacing w:line="640" w:lineRule="exact"/>
        <w:ind w:firstLine="360" w:firstLineChars="150"/>
        <w:rPr>
          <w:rFonts w:hint="eastAsia" w:hAnsi="宋体"/>
          <w:highlight w:val="none"/>
        </w:rPr>
      </w:pPr>
      <w:r>
        <w:rPr>
          <w:rFonts w:hint="eastAsia" w:ascii="宋体" w:hAnsi="宋体" w:cs="宋体"/>
          <w:sz w:val="24"/>
          <w:highlight w:val="none"/>
        </w:rPr>
        <w:t>附件八：合同样本；</w:t>
      </w:r>
    </w:p>
    <w:p w14:paraId="03B86458">
      <w:pPr>
        <w:pStyle w:val="2"/>
        <w:rPr>
          <w:highlight w:val="none"/>
        </w:rPr>
      </w:pPr>
    </w:p>
    <w:p w14:paraId="389A254E">
      <w:pPr>
        <w:pStyle w:val="14"/>
        <w:spacing w:line="640" w:lineRule="exact"/>
        <w:jc w:val="both"/>
        <w:rPr>
          <w:rFonts w:hint="eastAsia"/>
          <w:highlight w:val="none"/>
        </w:rPr>
      </w:pPr>
    </w:p>
    <w:p w14:paraId="26918992">
      <w:pPr>
        <w:pStyle w:val="14"/>
        <w:spacing w:line="420" w:lineRule="exact"/>
        <w:jc w:val="both"/>
        <w:rPr>
          <w:rFonts w:hint="eastAsia"/>
          <w:highlight w:val="none"/>
        </w:rPr>
      </w:pPr>
    </w:p>
    <w:p w14:paraId="156682F0">
      <w:pPr>
        <w:pStyle w:val="14"/>
        <w:spacing w:line="225" w:lineRule="atLeast"/>
        <w:jc w:val="both"/>
        <w:rPr>
          <w:rFonts w:hint="eastAsia"/>
          <w:highlight w:val="none"/>
        </w:rPr>
      </w:pPr>
    </w:p>
    <w:p w14:paraId="4A5A0E84">
      <w:pPr>
        <w:pStyle w:val="14"/>
        <w:spacing w:line="225" w:lineRule="atLeast"/>
        <w:jc w:val="both"/>
        <w:rPr>
          <w:rFonts w:hint="eastAsia"/>
          <w:highlight w:val="none"/>
        </w:rPr>
      </w:pPr>
    </w:p>
    <w:p w14:paraId="77D43058">
      <w:pPr>
        <w:pStyle w:val="14"/>
        <w:spacing w:line="225" w:lineRule="atLeast"/>
        <w:jc w:val="both"/>
        <w:rPr>
          <w:rFonts w:hint="eastAsia"/>
          <w:highlight w:val="none"/>
        </w:rPr>
      </w:pPr>
    </w:p>
    <w:p w14:paraId="1F676CC6">
      <w:pPr>
        <w:pStyle w:val="14"/>
        <w:spacing w:line="225" w:lineRule="atLeast"/>
        <w:jc w:val="both"/>
        <w:rPr>
          <w:rFonts w:hint="eastAsia"/>
          <w:highlight w:val="none"/>
        </w:rPr>
      </w:pPr>
    </w:p>
    <w:p w14:paraId="4379098D">
      <w:pPr>
        <w:pStyle w:val="14"/>
        <w:spacing w:line="225" w:lineRule="atLeast"/>
        <w:jc w:val="both"/>
        <w:rPr>
          <w:rFonts w:hint="eastAsia"/>
          <w:highlight w:val="none"/>
        </w:rPr>
      </w:pPr>
    </w:p>
    <w:p w14:paraId="77275A29">
      <w:pPr>
        <w:pStyle w:val="14"/>
        <w:spacing w:line="225" w:lineRule="atLeast"/>
        <w:jc w:val="both"/>
        <w:rPr>
          <w:rFonts w:hint="eastAsia"/>
          <w:highlight w:val="none"/>
        </w:rPr>
      </w:pPr>
    </w:p>
    <w:p w14:paraId="592F8890">
      <w:pPr>
        <w:pStyle w:val="14"/>
        <w:spacing w:line="225" w:lineRule="atLeast"/>
        <w:jc w:val="both"/>
        <w:rPr>
          <w:rFonts w:hint="eastAsia"/>
          <w:highlight w:val="none"/>
        </w:rPr>
      </w:pPr>
    </w:p>
    <w:p w14:paraId="53E38286">
      <w:pPr>
        <w:pStyle w:val="14"/>
        <w:spacing w:line="225" w:lineRule="atLeast"/>
        <w:jc w:val="both"/>
        <w:rPr>
          <w:rFonts w:hint="eastAsia"/>
          <w:highlight w:val="none"/>
        </w:rPr>
      </w:pPr>
    </w:p>
    <w:p w14:paraId="63F39D22">
      <w:pPr>
        <w:pStyle w:val="14"/>
        <w:spacing w:line="225" w:lineRule="atLeast"/>
        <w:jc w:val="both"/>
        <w:rPr>
          <w:rFonts w:hint="eastAsia"/>
          <w:b/>
          <w:bCs/>
          <w:sz w:val="30"/>
          <w:szCs w:val="30"/>
          <w:highlight w:val="none"/>
        </w:rPr>
      </w:pPr>
      <w:r>
        <w:rPr>
          <w:rFonts w:hint="eastAsia"/>
          <w:b/>
          <w:bCs/>
          <w:sz w:val="30"/>
          <w:szCs w:val="30"/>
          <w:highlight w:val="none"/>
        </w:rPr>
        <w:br w:type="page"/>
      </w:r>
      <w:r>
        <w:rPr>
          <w:rFonts w:hint="eastAsia"/>
          <w:b/>
          <w:bCs/>
          <w:sz w:val="30"/>
          <w:szCs w:val="30"/>
          <w:highlight w:val="none"/>
        </w:rPr>
        <w:t>附件一：</w:t>
      </w:r>
    </w:p>
    <w:p w14:paraId="02529E63">
      <w:pPr>
        <w:pStyle w:val="29"/>
        <w:spacing w:line="420" w:lineRule="atLeast"/>
        <w:rPr>
          <w:rFonts w:hint="eastAsia" w:ascii="宋体" w:hAnsi="宋体"/>
          <w:b/>
          <w:bCs/>
          <w:sz w:val="28"/>
          <w:szCs w:val="28"/>
          <w:highlight w:val="none"/>
        </w:rPr>
      </w:pPr>
      <w:r>
        <w:rPr>
          <w:rFonts w:hint="eastAsia" w:ascii="宋体" w:hAnsi="宋体"/>
          <w:b/>
          <w:bCs/>
          <w:sz w:val="28"/>
          <w:szCs w:val="28"/>
          <w:highlight w:val="none"/>
        </w:rPr>
        <w:t>法定代表人身份证明书</w:t>
      </w:r>
    </w:p>
    <w:p w14:paraId="75558A35">
      <w:pPr>
        <w:pStyle w:val="6"/>
        <w:spacing w:line="420" w:lineRule="atLeast"/>
        <w:ind w:firstLine="0"/>
        <w:jc w:val="center"/>
        <w:rPr>
          <w:rFonts w:hint="eastAsia" w:ascii="宋体" w:hAnsi="宋体"/>
          <w:highlight w:val="none"/>
        </w:rPr>
      </w:pPr>
    </w:p>
    <w:p w14:paraId="066D08F2">
      <w:pPr>
        <w:pStyle w:val="6"/>
        <w:spacing w:line="480" w:lineRule="auto"/>
        <w:ind w:firstLine="480" w:firstLineChars="200"/>
        <w:rPr>
          <w:rFonts w:hint="eastAsia" w:ascii="宋体" w:hAnsi="宋体"/>
          <w:highlight w:val="none"/>
        </w:rPr>
      </w:pPr>
      <w:r>
        <w:rPr>
          <w:rFonts w:hint="eastAsia" w:ascii="宋体" w:hAnsi="宋体"/>
          <w:highlight w:val="none"/>
        </w:rPr>
        <w:t>单位名称：</w:t>
      </w:r>
    </w:p>
    <w:p w14:paraId="0B0CAB7B">
      <w:pPr>
        <w:pStyle w:val="6"/>
        <w:spacing w:line="480" w:lineRule="auto"/>
        <w:ind w:firstLine="480" w:firstLineChars="200"/>
        <w:rPr>
          <w:rFonts w:hint="eastAsia" w:ascii="宋体" w:hAnsi="宋体"/>
          <w:highlight w:val="none"/>
        </w:rPr>
      </w:pPr>
      <w:r>
        <w:rPr>
          <w:rFonts w:hint="eastAsia" w:ascii="宋体" w:hAnsi="宋体"/>
          <w:highlight w:val="none"/>
        </w:rPr>
        <w:t>单位性质：</w:t>
      </w:r>
    </w:p>
    <w:p w14:paraId="32B8523F">
      <w:pPr>
        <w:pStyle w:val="6"/>
        <w:spacing w:line="480" w:lineRule="auto"/>
        <w:ind w:firstLine="480" w:firstLineChars="200"/>
        <w:rPr>
          <w:rFonts w:hint="eastAsia" w:ascii="宋体" w:hAnsi="宋体"/>
          <w:highlight w:val="none"/>
        </w:rPr>
      </w:pPr>
      <w:r>
        <w:rPr>
          <w:rFonts w:hint="eastAsia" w:ascii="宋体" w:hAnsi="宋体"/>
          <w:highlight w:val="none"/>
        </w:rPr>
        <w:t>地    址：</w:t>
      </w:r>
    </w:p>
    <w:p w14:paraId="4E04FAAC">
      <w:pPr>
        <w:pStyle w:val="6"/>
        <w:spacing w:line="480" w:lineRule="auto"/>
        <w:ind w:firstLine="480" w:firstLineChars="200"/>
        <w:rPr>
          <w:rFonts w:hint="eastAsia" w:ascii="宋体" w:hAnsi="宋体"/>
          <w:highlight w:val="none"/>
        </w:rPr>
      </w:pPr>
      <w:r>
        <w:rPr>
          <w:rFonts w:hint="eastAsia" w:ascii="宋体" w:hAnsi="宋体"/>
          <w:highlight w:val="none"/>
        </w:rPr>
        <w:t>成立时间：   年  月  日</w:t>
      </w:r>
    </w:p>
    <w:p w14:paraId="2039CAE9">
      <w:pPr>
        <w:pStyle w:val="6"/>
        <w:spacing w:line="480" w:lineRule="auto"/>
        <w:ind w:firstLine="480" w:firstLineChars="200"/>
        <w:rPr>
          <w:rFonts w:hint="eastAsia" w:ascii="宋体" w:hAnsi="宋体"/>
          <w:highlight w:val="none"/>
        </w:rPr>
      </w:pPr>
      <w:r>
        <w:rPr>
          <w:rFonts w:hint="eastAsia" w:ascii="宋体" w:hAnsi="宋体"/>
          <w:highlight w:val="none"/>
        </w:rPr>
        <w:t>经营期限：</w:t>
      </w:r>
    </w:p>
    <w:p w14:paraId="2F9D8BEA">
      <w:pPr>
        <w:pStyle w:val="6"/>
        <w:spacing w:line="480" w:lineRule="auto"/>
        <w:ind w:firstLine="480" w:firstLineChars="200"/>
        <w:rPr>
          <w:rFonts w:hint="eastAsia" w:ascii="宋体" w:hAnsi="宋体"/>
          <w:highlight w:val="none"/>
        </w:rPr>
      </w:pPr>
      <w:r>
        <w:rPr>
          <w:rFonts w:hint="eastAsia" w:ascii="宋体" w:hAnsi="宋体"/>
          <w:highlight w:val="none"/>
        </w:rPr>
        <w:t>姓    名：      性别：       年龄：</w:t>
      </w:r>
    </w:p>
    <w:p w14:paraId="14B3BEA3">
      <w:pPr>
        <w:pStyle w:val="6"/>
        <w:spacing w:line="480" w:lineRule="auto"/>
        <w:ind w:firstLine="480" w:firstLineChars="200"/>
        <w:rPr>
          <w:rFonts w:hint="eastAsia" w:ascii="宋体" w:hAnsi="宋体"/>
          <w:highlight w:val="none"/>
        </w:rPr>
      </w:pPr>
      <w:r>
        <w:rPr>
          <w:rFonts w:hint="eastAsia" w:ascii="宋体" w:hAnsi="宋体"/>
          <w:highlight w:val="none"/>
        </w:rPr>
        <w:t>职务：系：</w:t>
      </w:r>
      <w:r>
        <w:rPr>
          <w:rFonts w:hint="eastAsia" w:ascii="宋体" w:hAnsi="宋体"/>
          <w:highlight w:val="none"/>
          <w:u w:val="single"/>
        </w:rPr>
        <w:t xml:space="preserve">     (投标单位名称)           </w:t>
      </w:r>
      <w:r>
        <w:rPr>
          <w:rFonts w:hint="eastAsia" w:ascii="宋体" w:hAnsi="宋体"/>
          <w:highlight w:val="none"/>
        </w:rPr>
        <w:t>的法定代表人。</w:t>
      </w:r>
    </w:p>
    <w:p w14:paraId="521E42CC">
      <w:pPr>
        <w:pStyle w:val="6"/>
        <w:spacing w:line="480" w:lineRule="auto"/>
        <w:ind w:firstLine="480" w:firstLineChars="200"/>
        <w:rPr>
          <w:rFonts w:hint="eastAsia" w:ascii="宋体" w:hAnsi="宋体"/>
          <w:highlight w:val="none"/>
        </w:rPr>
      </w:pPr>
    </w:p>
    <w:p w14:paraId="797499A9">
      <w:pPr>
        <w:pStyle w:val="6"/>
        <w:spacing w:line="480" w:lineRule="auto"/>
        <w:ind w:firstLine="480" w:firstLineChars="200"/>
        <w:rPr>
          <w:rFonts w:hint="eastAsia" w:ascii="宋体" w:hAnsi="宋体"/>
          <w:highlight w:val="none"/>
        </w:rPr>
      </w:pPr>
      <w:r>
        <w:rPr>
          <w:rFonts w:hint="eastAsia" w:ascii="宋体" w:hAnsi="宋体"/>
          <w:highlight w:val="none"/>
        </w:rPr>
        <w:t>特此证明</w:t>
      </w:r>
    </w:p>
    <w:p w14:paraId="1CE7DB1B">
      <w:pPr>
        <w:pStyle w:val="6"/>
        <w:spacing w:line="480" w:lineRule="auto"/>
        <w:ind w:firstLine="480" w:firstLineChars="200"/>
        <w:rPr>
          <w:rFonts w:hint="eastAsia" w:ascii="宋体" w:hAnsi="宋体"/>
          <w:highlight w:val="none"/>
        </w:rPr>
      </w:pPr>
    </w:p>
    <w:p w14:paraId="00DCC4D2">
      <w:pPr>
        <w:pStyle w:val="6"/>
        <w:spacing w:line="480" w:lineRule="auto"/>
        <w:ind w:firstLine="3840" w:firstLineChars="1600"/>
        <w:rPr>
          <w:rFonts w:hint="eastAsia" w:ascii="宋体" w:hAnsi="宋体"/>
          <w:highlight w:val="none"/>
        </w:rPr>
      </w:pPr>
      <w:r>
        <w:rPr>
          <w:rFonts w:hint="eastAsia" w:ascii="宋体" w:hAnsi="宋体"/>
          <w:highlight w:val="none"/>
        </w:rPr>
        <w:t>投标单位(加盖公章)：</w:t>
      </w:r>
    </w:p>
    <w:p w14:paraId="3CB15A3D">
      <w:pPr>
        <w:pStyle w:val="6"/>
        <w:spacing w:line="480" w:lineRule="auto"/>
        <w:ind w:firstLine="3840" w:firstLineChars="1600"/>
        <w:rPr>
          <w:rFonts w:hint="eastAsia" w:ascii="宋体" w:hAnsi="宋体"/>
          <w:highlight w:val="none"/>
        </w:rPr>
      </w:pPr>
    </w:p>
    <w:p w14:paraId="20E49DFF">
      <w:pPr>
        <w:pStyle w:val="6"/>
        <w:spacing w:line="480" w:lineRule="auto"/>
        <w:ind w:firstLine="3840" w:firstLineChars="1600"/>
        <w:rPr>
          <w:rFonts w:hint="eastAsia" w:ascii="宋体" w:hAnsi="宋体"/>
          <w:b/>
          <w:bCs/>
          <w:highlight w:val="none"/>
        </w:rPr>
      </w:pPr>
      <w:r>
        <w:rPr>
          <w:rFonts w:hint="eastAsia" w:ascii="宋体" w:hAnsi="宋体"/>
          <w:highlight w:val="none"/>
        </w:rPr>
        <w:t>日 期：年月日</w:t>
      </w:r>
    </w:p>
    <w:p w14:paraId="42CD0BE2">
      <w:pPr>
        <w:pStyle w:val="14"/>
        <w:spacing w:line="225" w:lineRule="atLeast"/>
        <w:jc w:val="both"/>
        <w:rPr>
          <w:rFonts w:hint="eastAsia"/>
          <w:b/>
          <w:bCs/>
          <w:sz w:val="28"/>
          <w:szCs w:val="28"/>
          <w:highlight w:val="none"/>
        </w:rPr>
      </w:pPr>
      <w:r>
        <w:rPr>
          <w:rFonts w:hint="eastAsia"/>
          <w:b/>
          <w:bCs/>
          <w:sz w:val="28"/>
          <w:szCs w:val="28"/>
          <w:highlight w:val="none"/>
        </w:rPr>
        <w:t>附：法定代表人第二代身份证复印件</w:t>
      </w:r>
    </w:p>
    <w:p w14:paraId="494C658A">
      <w:pPr>
        <w:pStyle w:val="14"/>
        <w:spacing w:line="225" w:lineRule="atLeast"/>
        <w:jc w:val="both"/>
        <w:rPr>
          <w:rFonts w:hint="eastAsia"/>
          <w:b/>
          <w:bCs/>
          <w:sz w:val="30"/>
          <w:szCs w:val="30"/>
          <w:highlight w:val="none"/>
        </w:rPr>
      </w:pPr>
    </w:p>
    <w:p w14:paraId="366C2798">
      <w:pPr>
        <w:pStyle w:val="14"/>
        <w:spacing w:line="225" w:lineRule="atLeast"/>
        <w:jc w:val="both"/>
        <w:rPr>
          <w:rFonts w:hint="eastAsia"/>
          <w:b/>
          <w:bCs/>
          <w:sz w:val="30"/>
          <w:szCs w:val="30"/>
          <w:highlight w:val="none"/>
        </w:rPr>
      </w:pPr>
    </w:p>
    <w:p w14:paraId="27D60A2D">
      <w:pPr>
        <w:pStyle w:val="14"/>
        <w:spacing w:line="225" w:lineRule="atLeast"/>
        <w:jc w:val="both"/>
        <w:rPr>
          <w:rFonts w:hint="eastAsia"/>
          <w:b/>
          <w:bCs/>
          <w:sz w:val="30"/>
          <w:szCs w:val="30"/>
          <w:highlight w:val="none"/>
        </w:rPr>
      </w:pPr>
      <w:r>
        <w:rPr>
          <w:rFonts w:hint="eastAsia"/>
          <w:b/>
          <w:bCs/>
          <w:sz w:val="30"/>
          <w:szCs w:val="30"/>
          <w:highlight w:val="none"/>
        </w:rPr>
        <w:br w:type="page"/>
      </w:r>
      <w:r>
        <w:rPr>
          <w:rFonts w:hint="eastAsia"/>
          <w:b/>
          <w:bCs/>
          <w:sz w:val="30"/>
          <w:szCs w:val="30"/>
          <w:highlight w:val="none"/>
        </w:rPr>
        <w:t>附件二：</w:t>
      </w:r>
    </w:p>
    <w:p w14:paraId="7A2B6C8D">
      <w:pPr>
        <w:spacing w:line="500" w:lineRule="exact"/>
        <w:jc w:val="center"/>
        <w:rPr>
          <w:rFonts w:hint="eastAsia" w:ascii="宋体" w:hAnsi="宋体"/>
          <w:b/>
          <w:sz w:val="28"/>
          <w:szCs w:val="28"/>
          <w:highlight w:val="none"/>
        </w:rPr>
      </w:pPr>
      <w:r>
        <w:rPr>
          <w:rFonts w:hint="eastAsia" w:ascii="宋体" w:hAnsi="宋体"/>
          <w:b/>
          <w:sz w:val="28"/>
          <w:szCs w:val="28"/>
          <w:highlight w:val="none"/>
        </w:rPr>
        <w:t>法定代表人授权委托书</w:t>
      </w:r>
    </w:p>
    <w:p w14:paraId="5553718F">
      <w:pPr>
        <w:spacing w:line="500" w:lineRule="exact"/>
        <w:ind w:firstLine="560" w:firstLineChars="200"/>
        <w:rPr>
          <w:rFonts w:hint="eastAsia" w:ascii="宋体" w:hAnsi="宋体"/>
          <w:sz w:val="28"/>
          <w:szCs w:val="28"/>
          <w:highlight w:val="none"/>
        </w:rPr>
      </w:pPr>
    </w:p>
    <w:p w14:paraId="10722160">
      <w:pPr>
        <w:spacing w:line="420" w:lineRule="exact"/>
        <w:rPr>
          <w:rFonts w:hint="eastAsia" w:ascii="宋体" w:hAnsi="宋体"/>
          <w:sz w:val="24"/>
          <w:szCs w:val="24"/>
          <w:highlight w:val="none"/>
          <w:u w:val="single"/>
        </w:rPr>
      </w:pPr>
      <w:r>
        <w:rPr>
          <w:rFonts w:hint="eastAsia" w:ascii="宋体" w:hAnsi="宋体"/>
          <w:sz w:val="24"/>
          <w:szCs w:val="24"/>
          <w:highlight w:val="none"/>
          <w:u w:val="single"/>
        </w:rPr>
        <w:t>江苏洋口港投资开发有限公司：</w:t>
      </w:r>
    </w:p>
    <w:p w14:paraId="5AABAAAD">
      <w:pPr>
        <w:spacing w:line="420" w:lineRule="exact"/>
        <w:rPr>
          <w:rFonts w:hint="eastAsia" w:ascii="宋体" w:hAnsi="宋体"/>
          <w:sz w:val="24"/>
          <w:szCs w:val="24"/>
          <w:highlight w:val="none"/>
        </w:rPr>
      </w:pPr>
      <w:r>
        <w:rPr>
          <w:rFonts w:hint="eastAsia" w:ascii="宋体" w:hAnsi="宋体"/>
          <w:sz w:val="24"/>
          <w:szCs w:val="24"/>
          <w:highlight w:val="none"/>
        </w:rPr>
        <w:t>本授权书声明：</w:t>
      </w:r>
    </w:p>
    <w:p w14:paraId="2F5A4C6D">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我</w:t>
      </w:r>
      <w:r>
        <w:rPr>
          <w:rFonts w:hint="eastAsia" w:ascii="宋体" w:hAnsi="宋体"/>
          <w:sz w:val="24"/>
          <w:szCs w:val="24"/>
          <w:highlight w:val="none"/>
          <w:u w:val="single"/>
        </w:rPr>
        <w:t>（姓名）</w:t>
      </w:r>
      <w:r>
        <w:rPr>
          <w:rFonts w:hint="eastAsia" w:ascii="宋体" w:hAnsi="宋体"/>
          <w:sz w:val="24"/>
          <w:szCs w:val="24"/>
          <w:highlight w:val="none"/>
        </w:rPr>
        <w:t>，系</w:t>
      </w:r>
      <w:r>
        <w:rPr>
          <w:rFonts w:hint="eastAsia" w:ascii="宋体" w:hAnsi="宋体"/>
          <w:sz w:val="24"/>
          <w:szCs w:val="24"/>
          <w:highlight w:val="none"/>
          <w:u w:val="single"/>
        </w:rPr>
        <w:t>（投标人全称）</w:t>
      </w:r>
      <w:r>
        <w:rPr>
          <w:rFonts w:hint="eastAsia" w:ascii="宋体" w:hAnsi="宋体"/>
          <w:sz w:val="24"/>
          <w:szCs w:val="24"/>
          <w:highlight w:val="none"/>
        </w:rPr>
        <w:t>的法定代表人，现授权</w:t>
      </w:r>
      <w:r>
        <w:rPr>
          <w:rFonts w:hint="eastAsia" w:ascii="宋体" w:hAnsi="宋体"/>
          <w:sz w:val="24"/>
          <w:szCs w:val="24"/>
          <w:highlight w:val="none"/>
          <w:u w:val="single"/>
        </w:rPr>
        <w:t>（姓名）</w:t>
      </w:r>
      <w:r>
        <w:rPr>
          <w:rFonts w:hint="eastAsia" w:ascii="宋体" w:hAnsi="宋体"/>
          <w:sz w:val="24"/>
          <w:szCs w:val="24"/>
          <w:highlight w:val="none"/>
        </w:rPr>
        <w:t>为我公司的授权委托人，以我公司的名义参加</w:t>
      </w:r>
      <w:r>
        <w:rPr>
          <w:rFonts w:hint="eastAsia" w:ascii="宋体" w:hAnsi="宋体"/>
          <w:sz w:val="24"/>
          <w:szCs w:val="24"/>
          <w:highlight w:val="none"/>
          <w:u w:val="single"/>
        </w:rPr>
        <w:t>如东洋口港经济开发区建筑新材料产业园标准厂房一期南侧临时用房拆除处置项目</w:t>
      </w:r>
      <w:r>
        <w:rPr>
          <w:rFonts w:hint="eastAsia" w:ascii="宋体" w:hAnsi="宋体"/>
          <w:sz w:val="24"/>
          <w:szCs w:val="24"/>
          <w:highlight w:val="none"/>
        </w:rPr>
        <w:t>的投标，全权代表我公司处理本次招投标的一切事宜。</w:t>
      </w:r>
    </w:p>
    <w:p w14:paraId="445A751E">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授权委托人在本项目招标过程中所签署的一切文件、承诺和处理与之有关的一切事务，我均予以承认。</w:t>
      </w:r>
    </w:p>
    <w:p w14:paraId="7D46775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授权委托人无转委权。</w:t>
      </w:r>
    </w:p>
    <w:p w14:paraId="1AFFC380">
      <w:pPr>
        <w:spacing w:line="420" w:lineRule="exact"/>
        <w:rPr>
          <w:rFonts w:hint="eastAsia" w:ascii="宋体" w:hAnsi="宋体"/>
          <w:sz w:val="24"/>
          <w:szCs w:val="24"/>
          <w:highlight w:val="none"/>
        </w:rPr>
      </w:pPr>
    </w:p>
    <w:p w14:paraId="1FDF3FA6">
      <w:pPr>
        <w:spacing w:line="420" w:lineRule="exact"/>
        <w:rPr>
          <w:rFonts w:hint="eastAsia" w:ascii="宋体" w:hAnsi="宋体"/>
          <w:sz w:val="24"/>
          <w:szCs w:val="24"/>
          <w:highlight w:val="none"/>
        </w:rPr>
      </w:pPr>
      <w:r>
        <w:rPr>
          <w:rFonts w:hint="eastAsia" w:ascii="宋体" w:hAnsi="宋体"/>
          <w:sz w:val="24"/>
          <w:szCs w:val="24"/>
          <w:highlight w:val="none"/>
        </w:rPr>
        <w:t>授权委托人情况：</w:t>
      </w:r>
    </w:p>
    <w:p w14:paraId="5B458CE2">
      <w:pPr>
        <w:spacing w:line="420" w:lineRule="exact"/>
        <w:rPr>
          <w:rFonts w:hint="eastAsia" w:ascii="宋体" w:hAnsi="宋体"/>
          <w:sz w:val="24"/>
          <w:szCs w:val="24"/>
          <w:highlight w:val="none"/>
        </w:rPr>
      </w:pPr>
      <w:r>
        <w:rPr>
          <w:rFonts w:hint="eastAsia" w:ascii="宋体" w:hAnsi="宋体"/>
          <w:sz w:val="24"/>
          <w:szCs w:val="24"/>
          <w:highlight w:val="none"/>
        </w:rPr>
        <w:t>姓名：职务：</w:t>
      </w:r>
    </w:p>
    <w:p w14:paraId="58FCBFF5">
      <w:pPr>
        <w:spacing w:line="420" w:lineRule="exact"/>
        <w:rPr>
          <w:rFonts w:hint="eastAsia" w:ascii="宋体" w:hAnsi="宋体"/>
          <w:sz w:val="24"/>
          <w:szCs w:val="24"/>
          <w:highlight w:val="none"/>
        </w:rPr>
      </w:pPr>
      <w:r>
        <w:rPr>
          <w:rFonts w:hint="eastAsia" w:ascii="宋体" w:hAnsi="宋体"/>
          <w:sz w:val="24"/>
          <w:szCs w:val="24"/>
          <w:highlight w:val="none"/>
        </w:rPr>
        <w:t>身份证号码：</w:t>
      </w:r>
    </w:p>
    <w:p w14:paraId="2AEBFE55">
      <w:pPr>
        <w:spacing w:line="420" w:lineRule="exact"/>
        <w:rPr>
          <w:rFonts w:hint="eastAsia" w:ascii="宋体" w:hAnsi="宋体"/>
          <w:sz w:val="24"/>
          <w:szCs w:val="24"/>
          <w:highlight w:val="none"/>
        </w:rPr>
      </w:pPr>
      <w:r>
        <w:rPr>
          <w:rFonts w:hint="eastAsia" w:ascii="宋体" w:hAnsi="宋体"/>
          <w:sz w:val="24"/>
          <w:szCs w:val="24"/>
          <w:highlight w:val="none"/>
        </w:rPr>
        <w:t>联系电话：传真：</w:t>
      </w:r>
    </w:p>
    <w:p w14:paraId="3FC949E7">
      <w:pPr>
        <w:spacing w:line="420" w:lineRule="exact"/>
        <w:rPr>
          <w:rFonts w:hint="eastAsia" w:ascii="宋体" w:hAnsi="宋体"/>
          <w:sz w:val="24"/>
          <w:szCs w:val="24"/>
          <w:highlight w:val="none"/>
        </w:rPr>
      </w:pPr>
    </w:p>
    <w:p w14:paraId="0176AE22">
      <w:pPr>
        <w:spacing w:line="420" w:lineRule="exact"/>
        <w:rPr>
          <w:rFonts w:hint="eastAsia" w:ascii="宋体" w:hAnsi="宋体"/>
          <w:sz w:val="24"/>
          <w:szCs w:val="24"/>
          <w:highlight w:val="none"/>
          <w:u w:val="single"/>
        </w:rPr>
      </w:pPr>
      <w:r>
        <w:rPr>
          <w:rFonts w:hint="eastAsia" w:ascii="宋体" w:hAnsi="宋体"/>
          <w:sz w:val="24"/>
          <w:szCs w:val="24"/>
          <w:highlight w:val="none"/>
        </w:rPr>
        <w:t>单位名称（加盖公章）：</w:t>
      </w:r>
    </w:p>
    <w:p w14:paraId="3CFC05F6">
      <w:pPr>
        <w:spacing w:line="420" w:lineRule="exact"/>
        <w:rPr>
          <w:rFonts w:hint="eastAsia" w:ascii="宋体" w:hAnsi="宋体"/>
          <w:sz w:val="24"/>
          <w:szCs w:val="24"/>
          <w:highlight w:val="none"/>
          <w:u w:val="single"/>
        </w:rPr>
      </w:pPr>
      <w:r>
        <w:rPr>
          <w:rFonts w:hint="eastAsia" w:ascii="宋体" w:hAnsi="宋体"/>
          <w:sz w:val="24"/>
          <w:szCs w:val="24"/>
          <w:highlight w:val="none"/>
        </w:rPr>
        <w:t>法定代表人（签字或盖章）：</w:t>
      </w:r>
    </w:p>
    <w:p w14:paraId="2E6BB50B">
      <w:pPr>
        <w:spacing w:line="420" w:lineRule="exact"/>
        <w:ind w:left="4320" w:hanging="4320" w:hangingChars="1800"/>
        <w:rPr>
          <w:rFonts w:hint="eastAsia" w:ascii="宋体" w:hAnsi="宋体"/>
          <w:sz w:val="24"/>
          <w:szCs w:val="24"/>
          <w:highlight w:val="none"/>
        </w:rPr>
      </w:pPr>
      <w:r>
        <w:rPr>
          <w:rFonts w:hint="eastAsia" w:ascii="宋体" w:hAnsi="宋体"/>
          <w:sz w:val="24"/>
          <w:szCs w:val="24"/>
          <w:highlight w:val="none"/>
        </w:rPr>
        <w:t xml:space="preserve"> 日期：年 月 日</w:t>
      </w:r>
    </w:p>
    <w:p w14:paraId="64EDC67F">
      <w:pPr>
        <w:spacing w:line="600" w:lineRule="exact"/>
        <w:ind w:left="5040" w:hanging="5040" w:hangingChars="1800"/>
        <w:rPr>
          <w:rFonts w:hint="eastAsia" w:ascii="宋体" w:hAnsi="宋体"/>
          <w:sz w:val="28"/>
          <w:szCs w:val="28"/>
          <w:highlight w:val="none"/>
        </w:rPr>
      </w:pPr>
    </w:p>
    <w:p w14:paraId="5A69D6AB">
      <w:pPr>
        <w:spacing w:line="600" w:lineRule="exact"/>
        <w:rPr>
          <w:rFonts w:hint="eastAsia" w:ascii="宋体" w:hAnsi="宋体"/>
          <w:sz w:val="28"/>
          <w:szCs w:val="28"/>
          <w:highlight w:val="none"/>
        </w:rPr>
      </w:pPr>
    </w:p>
    <w:p w14:paraId="6E190524">
      <w:pPr>
        <w:pStyle w:val="2"/>
        <w:rPr>
          <w:highlight w:val="none"/>
        </w:rPr>
      </w:pPr>
    </w:p>
    <w:p w14:paraId="78759B4D">
      <w:pPr>
        <w:pStyle w:val="3"/>
        <w:rPr>
          <w:highlight w:val="none"/>
        </w:rPr>
      </w:pPr>
    </w:p>
    <w:p w14:paraId="3739FC13">
      <w:pPr>
        <w:pStyle w:val="3"/>
        <w:rPr>
          <w:highlight w:val="none"/>
        </w:rPr>
      </w:pPr>
    </w:p>
    <w:p w14:paraId="31628E17">
      <w:pPr>
        <w:pStyle w:val="14"/>
        <w:spacing w:line="225" w:lineRule="atLeast"/>
        <w:jc w:val="both"/>
        <w:rPr>
          <w:rFonts w:hint="eastAsia"/>
          <w:b/>
          <w:bCs/>
          <w:sz w:val="28"/>
          <w:szCs w:val="28"/>
          <w:highlight w:val="none"/>
        </w:rPr>
      </w:pPr>
      <w:r>
        <w:rPr>
          <w:rFonts w:hint="eastAsia"/>
          <w:b/>
          <w:bCs/>
          <w:sz w:val="28"/>
          <w:szCs w:val="28"/>
          <w:highlight w:val="none"/>
        </w:rPr>
        <w:t>附：授权委托人（即经办人）第二代身份证复印件</w:t>
      </w:r>
    </w:p>
    <w:p w14:paraId="15BCE1C5">
      <w:pPr>
        <w:spacing w:line="600" w:lineRule="exact"/>
        <w:rPr>
          <w:rFonts w:hint="eastAsia" w:ascii="宋体" w:hAnsi="宋体"/>
          <w:sz w:val="28"/>
          <w:szCs w:val="28"/>
          <w:highlight w:val="none"/>
        </w:rPr>
      </w:pPr>
    </w:p>
    <w:p w14:paraId="4BEF8BC1">
      <w:pPr>
        <w:pStyle w:val="14"/>
        <w:spacing w:line="225" w:lineRule="atLeast"/>
        <w:rPr>
          <w:rFonts w:hint="eastAsia"/>
          <w:b/>
          <w:bCs/>
          <w:sz w:val="30"/>
          <w:szCs w:val="30"/>
          <w:highlight w:val="none"/>
        </w:rPr>
      </w:pPr>
    </w:p>
    <w:p w14:paraId="1A3231D2">
      <w:pPr>
        <w:tabs>
          <w:tab w:val="left" w:pos="993"/>
        </w:tabs>
        <w:spacing w:line="360" w:lineRule="auto"/>
        <w:rPr>
          <w:b/>
          <w:bCs/>
          <w:sz w:val="30"/>
          <w:szCs w:val="30"/>
          <w:highlight w:val="none"/>
        </w:rPr>
      </w:pPr>
      <w:r>
        <w:rPr>
          <w:rFonts w:hint="eastAsia"/>
          <w:b/>
          <w:bCs/>
          <w:sz w:val="30"/>
          <w:szCs w:val="30"/>
          <w:highlight w:val="none"/>
        </w:rPr>
        <w:br w:type="page"/>
      </w:r>
      <w:r>
        <w:rPr>
          <w:rFonts w:hint="eastAsia"/>
          <w:b/>
          <w:bCs/>
          <w:sz w:val="30"/>
          <w:szCs w:val="30"/>
          <w:highlight w:val="none"/>
        </w:rPr>
        <w:t xml:space="preserve">附件三： </w:t>
      </w:r>
      <w:r>
        <w:rPr>
          <w:b/>
          <w:bCs/>
          <w:sz w:val="30"/>
          <w:szCs w:val="30"/>
          <w:highlight w:val="none"/>
        </w:rPr>
        <w:t xml:space="preserve">           </w:t>
      </w:r>
      <w:r>
        <w:rPr>
          <w:rFonts w:hint="eastAsia"/>
          <w:b/>
          <w:bCs/>
          <w:sz w:val="30"/>
          <w:szCs w:val="30"/>
          <w:highlight w:val="none"/>
        </w:rPr>
        <w:t>主要施工管理人员表</w:t>
      </w:r>
    </w:p>
    <w:tbl>
      <w:tblPr>
        <w:tblStyle w:val="16"/>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785"/>
        <w:gridCol w:w="1622"/>
        <w:gridCol w:w="4284"/>
      </w:tblGrid>
      <w:tr w14:paraId="7D42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07" w:type="dxa"/>
          </w:tcPr>
          <w:p w14:paraId="43E97A1A">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机构</w:t>
            </w:r>
          </w:p>
        </w:tc>
        <w:tc>
          <w:tcPr>
            <w:tcW w:w="1785" w:type="dxa"/>
          </w:tcPr>
          <w:p w14:paraId="1820851F">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项目工程师</w:t>
            </w:r>
          </w:p>
        </w:tc>
        <w:tc>
          <w:tcPr>
            <w:tcW w:w="1622" w:type="dxa"/>
          </w:tcPr>
          <w:p w14:paraId="70DB56FC">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姓名</w:t>
            </w:r>
          </w:p>
        </w:tc>
        <w:tc>
          <w:tcPr>
            <w:tcW w:w="4284" w:type="dxa"/>
          </w:tcPr>
          <w:p w14:paraId="3B71A303">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主要资历、经验及承担过的工程</w:t>
            </w:r>
          </w:p>
        </w:tc>
      </w:tr>
      <w:tr w14:paraId="61D3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restart"/>
          </w:tcPr>
          <w:p w14:paraId="50110B4B">
            <w:pPr>
              <w:spacing w:line="360" w:lineRule="auto"/>
              <w:jc w:val="center"/>
              <w:rPr>
                <w:rFonts w:hint="eastAsia" w:ascii="宋体" w:hAnsi="宋体"/>
                <w:position w:val="-42"/>
                <w:sz w:val="25"/>
                <w:szCs w:val="25"/>
                <w:highlight w:val="none"/>
              </w:rPr>
            </w:pPr>
          </w:p>
          <w:p w14:paraId="3112EA5C">
            <w:pPr>
              <w:spacing w:line="360" w:lineRule="auto"/>
              <w:jc w:val="center"/>
              <w:rPr>
                <w:rFonts w:hint="eastAsia" w:ascii="宋体" w:hAnsi="宋体"/>
                <w:position w:val="-42"/>
                <w:sz w:val="25"/>
                <w:szCs w:val="25"/>
                <w:highlight w:val="none"/>
              </w:rPr>
            </w:pPr>
          </w:p>
          <w:p w14:paraId="1D8B0C14">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总</w:t>
            </w:r>
          </w:p>
          <w:p w14:paraId="44FC9B91">
            <w:pPr>
              <w:spacing w:line="360" w:lineRule="auto"/>
              <w:jc w:val="center"/>
              <w:rPr>
                <w:rFonts w:hint="eastAsia" w:ascii="宋体" w:hAnsi="宋体"/>
                <w:position w:val="-42"/>
                <w:sz w:val="25"/>
                <w:szCs w:val="25"/>
                <w:highlight w:val="none"/>
              </w:rPr>
            </w:pPr>
          </w:p>
          <w:p w14:paraId="43C1E4C8">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部</w:t>
            </w:r>
          </w:p>
        </w:tc>
        <w:tc>
          <w:tcPr>
            <w:tcW w:w="1785" w:type="dxa"/>
          </w:tcPr>
          <w:p w14:paraId="333453D0">
            <w:pPr>
              <w:spacing w:line="360" w:lineRule="auto"/>
              <w:rPr>
                <w:rFonts w:hint="eastAsia" w:ascii="宋体" w:hAnsi="宋体"/>
                <w:position w:val="-42"/>
                <w:sz w:val="24"/>
                <w:highlight w:val="none"/>
              </w:rPr>
            </w:pPr>
            <w:r>
              <w:rPr>
                <w:rFonts w:hint="eastAsia" w:ascii="宋体" w:hAnsi="宋体"/>
                <w:position w:val="-42"/>
                <w:sz w:val="24"/>
                <w:highlight w:val="none"/>
              </w:rPr>
              <w:t>项目主管</w:t>
            </w:r>
          </w:p>
        </w:tc>
        <w:tc>
          <w:tcPr>
            <w:tcW w:w="1622" w:type="dxa"/>
          </w:tcPr>
          <w:p w14:paraId="0014AE8E">
            <w:pPr>
              <w:spacing w:line="360" w:lineRule="auto"/>
              <w:rPr>
                <w:rFonts w:hint="eastAsia" w:ascii="宋体" w:hAnsi="宋体"/>
                <w:position w:val="-42"/>
                <w:sz w:val="25"/>
                <w:szCs w:val="25"/>
                <w:highlight w:val="none"/>
              </w:rPr>
            </w:pPr>
          </w:p>
        </w:tc>
        <w:tc>
          <w:tcPr>
            <w:tcW w:w="4284" w:type="dxa"/>
          </w:tcPr>
          <w:p w14:paraId="29350D7F">
            <w:pPr>
              <w:spacing w:line="360" w:lineRule="auto"/>
              <w:rPr>
                <w:rFonts w:hint="eastAsia" w:ascii="宋体" w:hAnsi="宋体"/>
                <w:position w:val="-42"/>
                <w:sz w:val="25"/>
                <w:szCs w:val="25"/>
                <w:highlight w:val="none"/>
              </w:rPr>
            </w:pPr>
          </w:p>
        </w:tc>
      </w:tr>
      <w:tr w14:paraId="2A6A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1813A4C4">
            <w:pPr>
              <w:spacing w:line="360" w:lineRule="auto"/>
              <w:rPr>
                <w:rFonts w:hint="eastAsia" w:ascii="宋体" w:hAnsi="宋体"/>
                <w:position w:val="-42"/>
                <w:sz w:val="25"/>
                <w:szCs w:val="25"/>
                <w:highlight w:val="none"/>
              </w:rPr>
            </w:pPr>
          </w:p>
        </w:tc>
        <w:tc>
          <w:tcPr>
            <w:tcW w:w="1785" w:type="dxa"/>
          </w:tcPr>
          <w:p w14:paraId="4ECAA427">
            <w:pPr>
              <w:spacing w:line="360" w:lineRule="auto"/>
              <w:rPr>
                <w:rFonts w:hint="eastAsia" w:ascii="宋体" w:hAnsi="宋体"/>
                <w:position w:val="-42"/>
                <w:sz w:val="24"/>
                <w:highlight w:val="none"/>
              </w:rPr>
            </w:pPr>
            <w:r>
              <w:rPr>
                <w:rFonts w:hint="eastAsia" w:ascii="宋体" w:hAnsi="宋体"/>
                <w:position w:val="-42"/>
                <w:sz w:val="24"/>
                <w:highlight w:val="none"/>
              </w:rPr>
              <w:t>技术负责人</w:t>
            </w:r>
          </w:p>
        </w:tc>
        <w:tc>
          <w:tcPr>
            <w:tcW w:w="1622" w:type="dxa"/>
          </w:tcPr>
          <w:p w14:paraId="33FBCFC1">
            <w:pPr>
              <w:spacing w:line="360" w:lineRule="auto"/>
              <w:rPr>
                <w:rFonts w:hint="eastAsia" w:ascii="宋体" w:hAnsi="宋体"/>
                <w:position w:val="-42"/>
                <w:sz w:val="25"/>
                <w:szCs w:val="25"/>
                <w:highlight w:val="none"/>
              </w:rPr>
            </w:pPr>
          </w:p>
        </w:tc>
        <w:tc>
          <w:tcPr>
            <w:tcW w:w="4284" w:type="dxa"/>
          </w:tcPr>
          <w:p w14:paraId="27E36F42">
            <w:pPr>
              <w:spacing w:line="360" w:lineRule="auto"/>
              <w:rPr>
                <w:rFonts w:hint="eastAsia" w:ascii="宋体" w:hAnsi="宋体"/>
                <w:position w:val="-42"/>
                <w:sz w:val="25"/>
                <w:szCs w:val="25"/>
                <w:highlight w:val="none"/>
              </w:rPr>
            </w:pPr>
          </w:p>
        </w:tc>
      </w:tr>
      <w:tr w14:paraId="36E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0B0E4176">
            <w:pPr>
              <w:spacing w:line="360" w:lineRule="auto"/>
              <w:rPr>
                <w:rFonts w:hint="eastAsia" w:ascii="宋体" w:hAnsi="宋体"/>
                <w:position w:val="-42"/>
                <w:sz w:val="25"/>
                <w:szCs w:val="25"/>
                <w:highlight w:val="none"/>
              </w:rPr>
            </w:pPr>
          </w:p>
        </w:tc>
        <w:tc>
          <w:tcPr>
            <w:tcW w:w="1785" w:type="dxa"/>
          </w:tcPr>
          <w:p w14:paraId="03177FFF">
            <w:pPr>
              <w:spacing w:line="360" w:lineRule="auto"/>
              <w:rPr>
                <w:rFonts w:hint="eastAsia" w:ascii="宋体" w:hAnsi="宋体"/>
                <w:position w:val="-42"/>
                <w:sz w:val="24"/>
                <w:highlight w:val="none"/>
              </w:rPr>
            </w:pPr>
          </w:p>
        </w:tc>
        <w:tc>
          <w:tcPr>
            <w:tcW w:w="1622" w:type="dxa"/>
          </w:tcPr>
          <w:p w14:paraId="4C04E291">
            <w:pPr>
              <w:spacing w:line="360" w:lineRule="auto"/>
              <w:rPr>
                <w:rFonts w:hint="eastAsia" w:ascii="宋体" w:hAnsi="宋体"/>
                <w:position w:val="-42"/>
                <w:sz w:val="25"/>
                <w:szCs w:val="25"/>
                <w:highlight w:val="none"/>
              </w:rPr>
            </w:pPr>
          </w:p>
        </w:tc>
        <w:tc>
          <w:tcPr>
            <w:tcW w:w="4284" w:type="dxa"/>
          </w:tcPr>
          <w:p w14:paraId="70726454">
            <w:pPr>
              <w:spacing w:line="360" w:lineRule="auto"/>
              <w:rPr>
                <w:rFonts w:hint="eastAsia" w:ascii="宋体" w:hAnsi="宋体"/>
                <w:position w:val="-42"/>
                <w:sz w:val="25"/>
                <w:szCs w:val="25"/>
                <w:highlight w:val="none"/>
              </w:rPr>
            </w:pPr>
          </w:p>
        </w:tc>
      </w:tr>
      <w:tr w14:paraId="7565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4143364D">
            <w:pPr>
              <w:spacing w:line="360" w:lineRule="auto"/>
              <w:rPr>
                <w:rFonts w:hint="eastAsia" w:ascii="宋体" w:hAnsi="宋体"/>
                <w:position w:val="-42"/>
                <w:sz w:val="25"/>
                <w:szCs w:val="25"/>
                <w:highlight w:val="none"/>
              </w:rPr>
            </w:pPr>
          </w:p>
        </w:tc>
        <w:tc>
          <w:tcPr>
            <w:tcW w:w="1785" w:type="dxa"/>
          </w:tcPr>
          <w:p w14:paraId="1C43B4E6">
            <w:pPr>
              <w:spacing w:line="360" w:lineRule="auto"/>
              <w:rPr>
                <w:rFonts w:hint="eastAsia" w:ascii="宋体" w:hAnsi="宋体"/>
                <w:position w:val="-42"/>
                <w:sz w:val="25"/>
                <w:szCs w:val="25"/>
                <w:highlight w:val="none"/>
              </w:rPr>
            </w:pPr>
          </w:p>
        </w:tc>
        <w:tc>
          <w:tcPr>
            <w:tcW w:w="1622" w:type="dxa"/>
          </w:tcPr>
          <w:p w14:paraId="6215F475">
            <w:pPr>
              <w:spacing w:line="360" w:lineRule="auto"/>
              <w:rPr>
                <w:rFonts w:hint="eastAsia" w:ascii="宋体" w:hAnsi="宋体"/>
                <w:position w:val="-42"/>
                <w:sz w:val="25"/>
                <w:szCs w:val="25"/>
                <w:highlight w:val="none"/>
              </w:rPr>
            </w:pPr>
          </w:p>
        </w:tc>
        <w:tc>
          <w:tcPr>
            <w:tcW w:w="4284" w:type="dxa"/>
          </w:tcPr>
          <w:p w14:paraId="141B9336">
            <w:pPr>
              <w:spacing w:line="360" w:lineRule="auto"/>
              <w:rPr>
                <w:rFonts w:hint="eastAsia" w:ascii="宋体" w:hAnsi="宋体"/>
                <w:position w:val="-42"/>
                <w:sz w:val="25"/>
                <w:szCs w:val="25"/>
                <w:highlight w:val="none"/>
              </w:rPr>
            </w:pPr>
          </w:p>
        </w:tc>
      </w:tr>
      <w:tr w14:paraId="7FF9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79BD5292">
            <w:pPr>
              <w:spacing w:line="360" w:lineRule="auto"/>
              <w:rPr>
                <w:rFonts w:hint="eastAsia" w:ascii="宋体" w:hAnsi="宋体"/>
                <w:position w:val="-42"/>
                <w:sz w:val="25"/>
                <w:szCs w:val="25"/>
                <w:highlight w:val="none"/>
              </w:rPr>
            </w:pPr>
          </w:p>
        </w:tc>
        <w:tc>
          <w:tcPr>
            <w:tcW w:w="1785" w:type="dxa"/>
          </w:tcPr>
          <w:p w14:paraId="5B290133">
            <w:pPr>
              <w:spacing w:line="360" w:lineRule="auto"/>
              <w:rPr>
                <w:rFonts w:hint="eastAsia" w:ascii="宋体" w:hAnsi="宋体"/>
                <w:position w:val="-42"/>
                <w:sz w:val="25"/>
                <w:szCs w:val="25"/>
                <w:highlight w:val="none"/>
              </w:rPr>
            </w:pPr>
          </w:p>
        </w:tc>
        <w:tc>
          <w:tcPr>
            <w:tcW w:w="1622" w:type="dxa"/>
          </w:tcPr>
          <w:p w14:paraId="28995B90">
            <w:pPr>
              <w:spacing w:line="360" w:lineRule="auto"/>
              <w:rPr>
                <w:rFonts w:hint="eastAsia" w:ascii="宋体" w:hAnsi="宋体"/>
                <w:position w:val="-42"/>
                <w:sz w:val="25"/>
                <w:szCs w:val="25"/>
                <w:highlight w:val="none"/>
              </w:rPr>
            </w:pPr>
          </w:p>
        </w:tc>
        <w:tc>
          <w:tcPr>
            <w:tcW w:w="4284" w:type="dxa"/>
          </w:tcPr>
          <w:p w14:paraId="57A2982F">
            <w:pPr>
              <w:spacing w:line="360" w:lineRule="auto"/>
              <w:rPr>
                <w:rFonts w:hint="eastAsia" w:ascii="宋体" w:hAnsi="宋体"/>
                <w:position w:val="-42"/>
                <w:sz w:val="25"/>
                <w:szCs w:val="25"/>
                <w:highlight w:val="none"/>
              </w:rPr>
            </w:pPr>
          </w:p>
        </w:tc>
      </w:tr>
      <w:tr w14:paraId="5CBE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51169AD0">
            <w:pPr>
              <w:spacing w:line="360" w:lineRule="auto"/>
              <w:rPr>
                <w:rFonts w:hint="eastAsia" w:ascii="宋体" w:hAnsi="宋体"/>
                <w:position w:val="-42"/>
                <w:sz w:val="25"/>
                <w:szCs w:val="25"/>
                <w:highlight w:val="none"/>
              </w:rPr>
            </w:pPr>
          </w:p>
        </w:tc>
        <w:tc>
          <w:tcPr>
            <w:tcW w:w="1785" w:type="dxa"/>
          </w:tcPr>
          <w:p w14:paraId="2F8EECA0">
            <w:pPr>
              <w:spacing w:line="360" w:lineRule="auto"/>
              <w:rPr>
                <w:rFonts w:hint="eastAsia" w:ascii="宋体" w:hAnsi="宋体"/>
                <w:position w:val="-42"/>
                <w:sz w:val="25"/>
                <w:szCs w:val="25"/>
                <w:highlight w:val="none"/>
              </w:rPr>
            </w:pPr>
          </w:p>
        </w:tc>
        <w:tc>
          <w:tcPr>
            <w:tcW w:w="1622" w:type="dxa"/>
          </w:tcPr>
          <w:p w14:paraId="5C13FC75">
            <w:pPr>
              <w:spacing w:line="360" w:lineRule="auto"/>
              <w:rPr>
                <w:rFonts w:hint="eastAsia" w:ascii="宋体" w:hAnsi="宋体"/>
                <w:position w:val="-42"/>
                <w:sz w:val="25"/>
                <w:szCs w:val="25"/>
                <w:highlight w:val="none"/>
              </w:rPr>
            </w:pPr>
          </w:p>
        </w:tc>
        <w:tc>
          <w:tcPr>
            <w:tcW w:w="4284" w:type="dxa"/>
          </w:tcPr>
          <w:p w14:paraId="3560A0F1">
            <w:pPr>
              <w:spacing w:line="360" w:lineRule="auto"/>
              <w:rPr>
                <w:rFonts w:hint="eastAsia" w:ascii="宋体" w:hAnsi="宋体"/>
                <w:position w:val="-42"/>
                <w:sz w:val="25"/>
                <w:szCs w:val="25"/>
                <w:highlight w:val="none"/>
              </w:rPr>
            </w:pPr>
          </w:p>
        </w:tc>
      </w:tr>
      <w:tr w14:paraId="7A31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5F1AF30D">
            <w:pPr>
              <w:spacing w:line="360" w:lineRule="auto"/>
              <w:rPr>
                <w:rFonts w:hint="eastAsia" w:ascii="宋体" w:hAnsi="宋体"/>
                <w:position w:val="-42"/>
                <w:sz w:val="25"/>
                <w:szCs w:val="25"/>
                <w:highlight w:val="none"/>
              </w:rPr>
            </w:pPr>
          </w:p>
        </w:tc>
        <w:tc>
          <w:tcPr>
            <w:tcW w:w="1785" w:type="dxa"/>
          </w:tcPr>
          <w:p w14:paraId="2FAA368F">
            <w:pPr>
              <w:spacing w:line="360" w:lineRule="auto"/>
              <w:rPr>
                <w:rFonts w:hint="eastAsia" w:ascii="宋体" w:hAnsi="宋体"/>
                <w:position w:val="-42"/>
                <w:sz w:val="25"/>
                <w:szCs w:val="25"/>
                <w:highlight w:val="none"/>
              </w:rPr>
            </w:pPr>
          </w:p>
        </w:tc>
        <w:tc>
          <w:tcPr>
            <w:tcW w:w="1622" w:type="dxa"/>
          </w:tcPr>
          <w:p w14:paraId="02EA9D02">
            <w:pPr>
              <w:spacing w:line="360" w:lineRule="auto"/>
              <w:rPr>
                <w:rFonts w:hint="eastAsia" w:ascii="宋体" w:hAnsi="宋体"/>
                <w:position w:val="-42"/>
                <w:sz w:val="25"/>
                <w:szCs w:val="25"/>
                <w:highlight w:val="none"/>
              </w:rPr>
            </w:pPr>
          </w:p>
        </w:tc>
        <w:tc>
          <w:tcPr>
            <w:tcW w:w="4284" w:type="dxa"/>
          </w:tcPr>
          <w:p w14:paraId="6ACD9E3D">
            <w:pPr>
              <w:spacing w:line="360" w:lineRule="auto"/>
              <w:rPr>
                <w:rFonts w:hint="eastAsia" w:ascii="宋体" w:hAnsi="宋体"/>
                <w:position w:val="-42"/>
                <w:sz w:val="25"/>
                <w:szCs w:val="25"/>
                <w:highlight w:val="none"/>
              </w:rPr>
            </w:pPr>
          </w:p>
        </w:tc>
      </w:tr>
      <w:tr w14:paraId="6898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restart"/>
          </w:tcPr>
          <w:p w14:paraId="6C2BD14A">
            <w:pPr>
              <w:spacing w:line="360" w:lineRule="auto"/>
              <w:jc w:val="center"/>
              <w:rPr>
                <w:rFonts w:hint="eastAsia" w:ascii="宋体" w:hAnsi="宋体"/>
                <w:position w:val="-42"/>
                <w:sz w:val="25"/>
                <w:szCs w:val="25"/>
                <w:highlight w:val="none"/>
              </w:rPr>
            </w:pPr>
          </w:p>
          <w:p w14:paraId="16AD6151">
            <w:pPr>
              <w:spacing w:line="360" w:lineRule="auto"/>
              <w:jc w:val="center"/>
              <w:rPr>
                <w:rFonts w:hint="eastAsia" w:ascii="宋体" w:hAnsi="宋体"/>
                <w:position w:val="-42"/>
                <w:sz w:val="25"/>
                <w:szCs w:val="25"/>
                <w:highlight w:val="none"/>
              </w:rPr>
            </w:pPr>
          </w:p>
          <w:p w14:paraId="4CE139CD">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现</w:t>
            </w:r>
          </w:p>
          <w:p w14:paraId="604639B4">
            <w:pPr>
              <w:spacing w:line="360" w:lineRule="auto"/>
              <w:jc w:val="center"/>
              <w:rPr>
                <w:rFonts w:hint="eastAsia" w:ascii="宋体" w:hAnsi="宋体"/>
                <w:position w:val="-42"/>
                <w:sz w:val="25"/>
                <w:szCs w:val="25"/>
                <w:highlight w:val="none"/>
              </w:rPr>
            </w:pPr>
          </w:p>
          <w:p w14:paraId="15CF3EF1">
            <w:pPr>
              <w:spacing w:line="360" w:lineRule="auto"/>
              <w:jc w:val="center"/>
              <w:rPr>
                <w:rFonts w:hint="eastAsia" w:ascii="宋体" w:hAnsi="宋体"/>
                <w:position w:val="-42"/>
                <w:sz w:val="25"/>
                <w:szCs w:val="25"/>
                <w:highlight w:val="none"/>
              </w:rPr>
            </w:pPr>
          </w:p>
          <w:p w14:paraId="33923A0B">
            <w:pPr>
              <w:spacing w:line="360" w:lineRule="auto"/>
              <w:jc w:val="center"/>
              <w:rPr>
                <w:rFonts w:hint="eastAsia" w:ascii="宋体" w:hAnsi="宋体"/>
                <w:position w:val="-42"/>
                <w:sz w:val="25"/>
                <w:szCs w:val="25"/>
                <w:highlight w:val="none"/>
              </w:rPr>
            </w:pPr>
            <w:r>
              <w:rPr>
                <w:rFonts w:hint="eastAsia" w:ascii="宋体" w:hAnsi="宋体"/>
                <w:position w:val="-42"/>
                <w:sz w:val="25"/>
                <w:szCs w:val="25"/>
                <w:highlight w:val="none"/>
              </w:rPr>
              <w:t>场</w:t>
            </w:r>
          </w:p>
        </w:tc>
        <w:tc>
          <w:tcPr>
            <w:tcW w:w="1785" w:type="dxa"/>
          </w:tcPr>
          <w:p w14:paraId="3D98F411">
            <w:pPr>
              <w:spacing w:line="360" w:lineRule="auto"/>
              <w:rPr>
                <w:rFonts w:hint="eastAsia" w:ascii="宋体" w:hAnsi="宋体"/>
                <w:position w:val="-42"/>
                <w:sz w:val="24"/>
                <w:highlight w:val="none"/>
              </w:rPr>
            </w:pPr>
            <w:r>
              <w:rPr>
                <w:rFonts w:hint="eastAsia" w:ascii="宋体" w:hAnsi="宋体"/>
                <w:position w:val="-42"/>
                <w:sz w:val="24"/>
                <w:highlight w:val="none"/>
              </w:rPr>
              <w:t>项目负责人</w:t>
            </w:r>
          </w:p>
        </w:tc>
        <w:tc>
          <w:tcPr>
            <w:tcW w:w="1622" w:type="dxa"/>
          </w:tcPr>
          <w:p w14:paraId="26FC349A">
            <w:pPr>
              <w:spacing w:line="360" w:lineRule="auto"/>
              <w:rPr>
                <w:rFonts w:hint="eastAsia" w:ascii="宋体" w:hAnsi="宋体"/>
                <w:position w:val="-42"/>
                <w:sz w:val="25"/>
                <w:szCs w:val="25"/>
                <w:highlight w:val="none"/>
              </w:rPr>
            </w:pPr>
          </w:p>
        </w:tc>
        <w:tc>
          <w:tcPr>
            <w:tcW w:w="4284" w:type="dxa"/>
          </w:tcPr>
          <w:p w14:paraId="54F15EEF">
            <w:pPr>
              <w:spacing w:line="360" w:lineRule="auto"/>
              <w:rPr>
                <w:rFonts w:hint="eastAsia" w:ascii="宋体" w:hAnsi="宋体"/>
                <w:position w:val="-42"/>
                <w:sz w:val="25"/>
                <w:szCs w:val="25"/>
                <w:highlight w:val="none"/>
              </w:rPr>
            </w:pPr>
          </w:p>
        </w:tc>
      </w:tr>
      <w:tr w14:paraId="4B94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67433FDC">
            <w:pPr>
              <w:spacing w:line="360" w:lineRule="auto"/>
              <w:rPr>
                <w:rFonts w:hint="eastAsia" w:ascii="宋体" w:hAnsi="宋体"/>
                <w:position w:val="-42"/>
                <w:sz w:val="25"/>
                <w:szCs w:val="25"/>
                <w:highlight w:val="none"/>
              </w:rPr>
            </w:pPr>
          </w:p>
        </w:tc>
        <w:tc>
          <w:tcPr>
            <w:tcW w:w="1785" w:type="dxa"/>
          </w:tcPr>
          <w:p w14:paraId="29138DA7">
            <w:pPr>
              <w:spacing w:line="360" w:lineRule="auto"/>
              <w:rPr>
                <w:rFonts w:hint="eastAsia" w:ascii="宋体" w:hAnsi="宋体"/>
                <w:position w:val="-42"/>
                <w:sz w:val="24"/>
                <w:highlight w:val="none"/>
              </w:rPr>
            </w:pPr>
            <w:r>
              <w:rPr>
                <w:rFonts w:hint="eastAsia" w:ascii="宋体" w:hAnsi="宋体"/>
                <w:position w:val="-42"/>
                <w:sz w:val="24"/>
                <w:highlight w:val="none"/>
              </w:rPr>
              <w:t>安全员</w:t>
            </w:r>
          </w:p>
        </w:tc>
        <w:tc>
          <w:tcPr>
            <w:tcW w:w="1622" w:type="dxa"/>
          </w:tcPr>
          <w:p w14:paraId="25291657">
            <w:pPr>
              <w:spacing w:line="360" w:lineRule="auto"/>
              <w:rPr>
                <w:rFonts w:hint="eastAsia" w:ascii="宋体" w:hAnsi="宋体"/>
                <w:position w:val="-42"/>
                <w:sz w:val="25"/>
                <w:szCs w:val="25"/>
                <w:highlight w:val="none"/>
              </w:rPr>
            </w:pPr>
          </w:p>
        </w:tc>
        <w:tc>
          <w:tcPr>
            <w:tcW w:w="4284" w:type="dxa"/>
          </w:tcPr>
          <w:p w14:paraId="4043B8BA">
            <w:pPr>
              <w:spacing w:line="360" w:lineRule="auto"/>
              <w:rPr>
                <w:rFonts w:hint="eastAsia" w:ascii="宋体" w:hAnsi="宋体"/>
                <w:position w:val="-42"/>
                <w:sz w:val="25"/>
                <w:szCs w:val="25"/>
                <w:highlight w:val="none"/>
              </w:rPr>
            </w:pPr>
          </w:p>
        </w:tc>
      </w:tr>
      <w:tr w14:paraId="2505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5D8663D7">
            <w:pPr>
              <w:spacing w:line="360" w:lineRule="auto"/>
              <w:rPr>
                <w:rFonts w:hint="eastAsia" w:ascii="宋体" w:hAnsi="宋体"/>
                <w:position w:val="-42"/>
                <w:sz w:val="25"/>
                <w:szCs w:val="25"/>
                <w:highlight w:val="none"/>
              </w:rPr>
            </w:pPr>
          </w:p>
        </w:tc>
        <w:tc>
          <w:tcPr>
            <w:tcW w:w="1785" w:type="dxa"/>
          </w:tcPr>
          <w:p w14:paraId="793D7C41">
            <w:pPr>
              <w:spacing w:line="360" w:lineRule="auto"/>
              <w:rPr>
                <w:rFonts w:hint="eastAsia" w:ascii="宋体" w:hAnsi="宋体"/>
                <w:position w:val="-42"/>
                <w:sz w:val="24"/>
                <w:highlight w:val="none"/>
              </w:rPr>
            </w:pPr>
          </w:p>
        </w:tc>
        <w:tc>
          <w:tcPr>
            <w:tcW w:w="1622" w:type="dxa"/>
          </w:tcPr>
          <w:p w14:paraId="625F21B9">
            <w:pPr>
              <w:spacing w:line="360" w:lineRule="auto"/>
              <w:rPr>
                <w:rFonts w:hint="eastAsia" w:ascii="宋体" w:hAnsi="宋体"/>
                <w:position w:val="-42"/>
                <w:sz w:val="25"/>
                <w:szCs w:val="25"/>
                <w:highlight w:val="none"/>
              </w:rPr>
            </w:pPr>
          </w:p>
        </w:tc>
        <w:tc>
          <w:tcPr>
            <w:tcW w:w="4284" w:type="dxa"/>
          </w:tcPr>
          <w:p w14:paraId="19E46808">
            <w:pPr>
              <w:spacing w:line="360" w:lineRule="auto"/>
              <w:rPr>
                <w:rFonts w:hint="eastAsia" w:ascii="宋体" w:hAnsi="宋体"/>
                <w:position w:val="-42"/>
                <w:sz w:val="25"/>
                <w:szCs w:val="25"/>
                <w:highlight w:val="none"/>
              </w:rPr>
            </w:pPr>
          </w:p>
        </w:tc>
      </w:tr>
      <w:tr w14:paraId="48AD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01CB6ED1">
            <w:pPr>
              <w:spacing w:line="360" w:lineRule="auto"/>
              <w:rPr>
                <w:rFonts w:hint="eastAsia" w:ascii="宋体" w:hAnsi="宋体"/>
                <w:position w:val="-42"/>
                <w:sz w:val="25"/>
                <w:szCs w:val="25"/>
                <w:highlight w:val="none"/>
              </w:rPr>
            </w:pPr>
          </w:p>
        </w:tc>
        <w:tc>
          <w:tcPr>
            <w:tcW w:w="1785" w:type="dxa"/>
          </w:tcPr>
          <w:p w14:paraId="03227258">
            <w:pPr>
              <w:spacing w:line="360" w:lineRule="auto"/>
              <w:rPr>
                <w:rFonts w:hint="eastAsia" w:ascii="宋体" w:hAnsi="宋体"/>
                <w:position w:val="-42"/>
                <w:sz w:val="24"/>
                <w:highlight w:val="none"/>
              </w:rPr>
            </w:pPr>
          </w:p>
        </w:tc>
        <w:tc>
          <w:tcPr>
            <w:tcW w:w="1622" w:type="dxa"/>
          </w:tcPr>
          <w:p w14:paraId="708BCAB3">
            <w:pPr>
              <w:spacing w:line="360" w:lineRule="auto"/>
              <w:rPr>
                <w:rFonts w:hint="eastAsia" w:ascii="宋体" w:hAnsi="宋体"/>
                <w:position w:val="-42"/>
                <w:sz w:val="25"/>
                <w:szCs w:val="25"/>
                <w:highlight w:val="none"/>
              </w:rPr>
            </w:pPr>
          </w:p>
        </w:tc>
        <w:tc>
          <w:tcPr>
            <w:tcW w:w="4284" w:type="dxa"/>
          </w:tcPr>
          <w:p w14:paraId="4FC81645">
            <w:pPr>
              <w:spacing w:line="360" w:lineRule="auto"/>
              <w:rPr>
                <w:rFonts w:hint="eastAsia" w:ascii="宋体" w:hAnsi="宋体"/>
                <w:position w:val="-42"/>
                <w:sz w:val="25"/>
                <w:szCs w:val="25"/>
                <w:highlight w:val="none"/>
              </w:rPr>
            </w:pPr>
          </w:p>
        </w:tc>
      </w:tr>
      <w:tr w14:paraId="36E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7917A24C">
            <w:pPr>
              <w:spacing w:line="360" w:lineRule="auto"/>
              <w:rPr>
                <w:rFonts w:hint="eastAsia" w:ascii="宋体" w:hAnsi="宋体"/>
                <w:position w:val="-42"/>
                <w:sz w:val="25"/>
                <w:szCs w:val="25"/>
                <w:highlight w:val="none"/>
              </w:rPr>
            </w:pPr>
          </w:p>
        </w:tc>
        <w:tc>
          <w:tcPr>
            <w:tcW w:w="1785" w:type="dxa"/>
          </w:tcPr>
          <w:p w14:paraId="3D2B706C">
            <w:pPr>
              <w:spacing w:line="360" w:lineRule="auto"/>
              <w:rPr>
                <w:rFonts w:hint="eastAsia" w:ascii="宋体" w:hAnsi="宋体"/>
                <w:position w:val="-42"/>
                <w:sz w:val="24"/>
                <w:highlight w:val="none"/>
              </w:rPr>
            </w:pPr>
          </w:p>
        </w:tc>
        <w:tc>
          <w:tcPr>
            <w:tcW w:w="1622" w:type="dxa"/>
          </w:tcPr>
          <w:p w14:paraId="46B1E12D">
            <w:pPr>
              <w:spacing w:line="360" w:lineRule="auto"/>
              <w:rPr>
                <w:rFonts w:hint="eastAsia" w:ascii="宋体" w:hAnsi="宋体"/>
                <w:position w:val="-42"/>
                <w:sz w:val="25"/>
                <w:szCs w:val="25"/>
                <w:highlight w:val="none"/>
              </w:rPr>
            </w:pPr>
          </w:p>
        </w:tc>
        <w:tc>
          <w:tcPr>
            <w:tcW w:w="4284" w:type="dxa"/>
          </w:tcPr>
          <w:p w14:paraId="24D93746">
            <w:pPr>
              <w:spacing w:line="360" w:lineRule="auto"/>
              <w:rPr>
                <w:rFonts w:hint="eastAsia" w:ascii="宋体" w:hAnsi="宋体"/>
                <w:position w:val="-42"/>
                <w:sz w:val="25"/>
                <w:szCs w:val="25"/>
                <w:highlight w:val="none"/>
              </w:rPr>
            </w:pPr>
          </w:p>
        </w:tc>
      </w:tr>
      <w:tr w14:paraId="61E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007" w:type="dxa"/>
            <w:vMerge w:val="continue"/>
          </w:tcPr>
          <w:p w14:paraId="3061104B">
            <w:pPr>
              <w:spacing w:line="360" w:lineRule="auto"/>
              <w:rPr>
                <w:rFonts w:hint="eastAsia" w:ascii="宋体" w:hAnsi="宋体"/>
                <w:position w:val="-42"/>
                <w:sz w:val="25"/>
                <w:szCs w:val="25"/>
                <w:highlight w:val="none"/>
              </w:rPr>
            </w:pPr>
          </w:p>
        </w:tc>
        <w:tc>
          <w:tcPr>
            <w:tcW w:w="1785" w:type="dxa"/>
          </w:tcPr>
          <w:p w14:paraId="039C8A27">
            <w:pPr>
              <w:spacing w:line="360" w:lineRule="auto"/>
              <w:rPr>
                <w:rFonts w:hint="eastAsia" w:ascii="宋体" w:hAnsi="宋体"/>
                <w:position w:val="-42"/>
                <w:sz w:val="24"/>
                <w:highlight w:val="none"/>
              </w:rPr>
            </w:pPr>
          </w:p>
        </w:tc>
        <w:tc>
          <w:tcPr>
            <w:tcW w:w="1622" w:type="dxa"/>
          </w:tcPr>
          <w:p w14:paraId="2E6B5E35">
            <w:pPr>
              <w:spacing w:line="360" w:lineRule="auto"/>
              <w:rPr>
                <w:rFonts w:hint="eastAsia" w:ascii="宋体" w:hAnsi="宋体"/>
                <w:position w:val="-42"/>
                <w:sz w:val="25"/>
                <w:szCs w:val="25"/>
                <w:highlight w:val="none"/>
              </w:rPr>
            </w:pPr>
          </w:p>
        </w:tc>
        <w:tc>
          <w:tcPr>
            <w:tcW w:w="4284" w:type="dxa"/>
          </w:tcPr>
          <w:p w14:paraId="59DA3C25">
            <w:pPr>
              <w:spacing w:line="360" w:lineRule="auto"/>
              <w:rPr>
                <w:rFonts w:hint="eastAsia" w:ascii="宋体" w:hAnsi="宋体"/>
                <w:position w:val="-42"/>
                <w:sz w:val="25"/>
                <w:szCs w:val="25"/>
                <w:highlight w:val="none"/>
              </w:rPr>
            </w:pPr>
          </w:p>
        </w:tc>
      </w:tr>
      <w:tr w14:paraId="1A5C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007" w:type="dxa"/>
            <w:vMerge w:val="continue"/>
          </w:tcPr>
          <w:p w14:paraId="0376E0E8">
            <w:pPr>
              <w:spacing w:line="360" w:lineRule="auto"/>
              <w:rPr>
                <w:rFonts w:hint="eastAsia" w:ascii="宋体" w:hAnsi="宋体"/>
                <w:position w:val="-30"/>
                <w:sz w:val="25"/>
                <w:szCs w:val="25"/>
                <w:highlight w:val="none"/>
              </w:rPr>
            </w:pPr>
          </w:p>
        </w:tc>
        <w:tc>
          <w:tcPr>
            <w:tcW w:w="1785" w:type="dxa"/>
          </w:tcPr>
          <w:p w14:paraId="17ACEFF3">
            <w:pPr>
              <w:spacing w:line="360" w:lineRule="auto"/>
              <w:rPr>
                <w:rFonts w:hint="eastAsia" w:ascii="宋体" w:hAnsi="宋体"/>
                <w:position w:val="-30"/>
                <w:sz w:val="25"/>
                <w:szCs w:val="25"/>
                <w:highlight w:val="none"/>
              </w:rPr>
            </w:pPr>
          </w:p>
        </w:tc>
        <w:tc>
          <w:tcPr>
            <w:tcW w:w="1622" w:type="dxa"/>
          </w:tcPr>
          <w:p w14:paraId="4C5098EE">
            <w:pPr>
              <w:spacing w:line="360" w:lineRule="auto"/>
              <w:rPr>
                <w:rFonts w:hint="eastAsia" w:ascii="宋体" w:hAnsi="宋体"/>
                <w:position w:val="-30"/>
                <w:sz w:val="25"/>
                <w:szCs w:val="25"/>
                <w:highlight w:val="none"/>
              </w:rPr>
            </w:pPr>
          </w:p>
        </w:tc>
        <w:tc>
          <w:tcPr>
            <w:tcW w:w="4284" w:type="dxa"/>
          </w:tcPr>
          <w:p w14:paraId="1660995D">
            <w:pPr>
              <w:spacing w:line="360" w:lineRule="auto"/>
              <w:rPr>
                <w:rFonts w:hint="eastAsia" w:ascii="宋体" w:hAnsi="宋体"/>
                <w:position w:val="-30"/>
                <w:sz w:val="25"/>
                <w:szCs w:val="25"/>
                <w:highlight w:val="none"/>
              </w:rPr>
            </w:pPr>
          </w:p>
        </w:tc>
      </w:tr>
      <w:tr w14:paraId="495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007" w:type="dxa"/>
            <w:vMerge w:val="continue"/>
          </w:tcPr>
          <w:p w14:paraId="1C314E20">
            <w:pPr>
              <w:spacing w:line="360" w:lineRule="auto"/>
              <w:rPr>
                <w:rFonts w:hint="eastAsia" w:ascii="宋体" w:hAnsi="宋体"/>
                <w:position w:val="-30"/>
                <w:sz w:val="25"/>
                <w:szCs w:val="25"/>
                <w:highlight w:val="none"/>
              </w:rPr>
            </w:pPr>
          </w:p>
        </w:tc>
        <w:tc>
          <w:tcPr>
            <w:tcW w:w="1785" w:type="dxa"/>
          </w:tcPr>
          <w:p w14:paraId="14839988">
            <w:pPr>
              <w:spacing w:line="360" w:lineRule="auto"/>
              <w:rPr>
                <w:rFonts w:hint="eastAsia" w:ascii="宋体" w:hAnsi="宋体"/>
                <w:position w:val="-30"/>
                <w:sz w:val="25"/>
                <w:szCs w:val="25"/>
                <w:highlight w:val="none"/>
              </w:rPr>
            </w:pPr>
          </w:p>
        </w:tc>
        <w:tc>
          <w:tcPr>
            <w:tcW w:w="1622" w:type="dxa"/>
          </w:tcPr>
          <w:p w14:paraId="0410D671">
            <w:pPr>
              <w:spacing w:line="360" w:lineRule="auto"/>
              <w:rPr>
                <w:rFonts w:hint="eastAsia" w:ascii="宋体" w:hAnsi="宋体"/>
                <w:position w:val="-30"/>
                <w:sz w:val="25"/>
                <w:szCs w:val="25"/>
                <w:highlight w:val="none"/>
              </w:rPr>
            </w:pPr>
          </w:p>
        </w:tc>
        <w:tc>
          <w:tcPr>
            <w:tcW w:w="4284" w:type="dxa"/>
          </w:tcPr>
          <w:p w14:paraId="54FAA1C1">
            <w:pPr>
              <w:spacing w:line="360" w:lineRule="auto"/>
              <w:rPr>
                <w:rFonts w:hint="eastAsia" w:ascii="宋体" w:hAnsi="宋体"/>
                <w:position w:val="-30"/>
                <w:sz w:val="25"/>
                <w:szCs w:val="25"/>
                <w:highlight w:val="none"/>
              </w:rPr>
            </w:pPr>
          </w:p>
        </w:tc>
      </w:tr>
    </w:tbl>
    <w:p w14:paraId="7CE54662">
      <w:pPr>
        <w:tabs>
          <w:tab w:val="left" w:pos="993"/>
        </w:tabs>
        <w:spacing w:line="360" w:lineRule="auto"/>
        <w:rPr>
          <w:rFonts w:hint="eastAsia" w:ascii="宋体" w:hAnsi="宋体"/>
          <w:bCs/>
          <w:sz w:val="25"/>
          <w:szCs w:val="25"/>
          <w:highlight w:val="none"/>
        </w:rPr>
      </w:pPr>
    </w:p>
    <w:p w14:paraId="309E9289">
      <w:pPr>
        <w:widowControl/>
        <w:spacing w:before="100" w:beforeAutospacing="1" w:after="100" w:afterAutospacing="1" w:line="440" w:lineRule="exact"/>
        <w:ind w:left="795" w:leftChars="200" w:hanging="375" w:hangingChars="150"/>
        <w:rPr>
          <w:b/>
          <w:bCs/>
          <w:sz w:val="30"/>
          <w:szCs w:val="30"/>
          <w:highlight w:val="none"/>
        </w:rPr>
      </w:pPr>
      <w:r>
        <w:rPr>
          <w:rFonts w:hint="eastAsia" w:ascii="宋体" w:hAnsi="宋体"/>
          <w:bCs/>
          <w:sz w:val="25"/>
          <w:szCs w:val="25"/>
          <w:highlight w:val="none"/>
        </w:rPr>
        <w:br w:type="page"/>
      </w:r>
      <w:r>
        <w:rPr>
          <w:b/>
          <w:bCs/>
          <w:sz w:val="30"/>
          <w:szCs w:val="30"/>
          <w:highlight w:val="none"/>
        </w:rPr>
        <w:t>附件</w:t>
      </w:r>
      <w:r>
        <w:rPr>
          <w:rFonts w:hint="eastAsia"/>
          <w:b/>
          <w:bCs/>
          <w:sz w:val="30"/>
          <w:szCs w:val="30"/>
          <w:highlight w:val="none"/>
        </w:rPr>
        <w:t xml:space="preserve">四：                   </w:t>
      </w:r>
    </w:p>
    <w:p w14:paraId="29FCDC1B">
      <w:pPr>
        <w:spacing w:line="500" w:lineRule="exact"/>
        <w:jc w:val="center"/>
        <w:rPr>
          <w:rFonts w:hint="eastAsia" w:ascii="宋体" w:hAnsi="宋体"/>
          <w:b/>
          <w:sz w:val="28"/>
          <w:szCs w:val="28"/>
          <w:highlight w:val="none"/>
        </w:rPr>
      </w:pPr>
      <w:r>
        <w:rPr>
          <w:rFonts w:hint="eastAsia" w:ascii="宋体" w:hAnsi="宋体"/>
          <w:b/>
          <w:sz w:val="28"/>
          <w:szCs w:val="28"/>
          <w:highlight w:val="none"/>
        </w:rPr>
        <w:t>计 划 投 入 的 主 要 施 工 机 械 设 备 表</w:t>
      </w:r>
    </w:p>
    <w:p w14:paraId="062AD007">
      <w:pPr>
        <w:rPr>
          <w:rFonts w:hint="eastAsia" w:ascii="宋体" w:hAnsi="宋体"/>
          <w:b/>
          <w:bCs/>
          <w:kern w:val="0"/>
          <w:sz w:val="28"/>
          <w:szCs w:val="32"/>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1320"/>
        <w:gridCol w:w="900"/>
        <w:gridCol w:w="1800"/>
        <w:gridCol w:w="1800"/>
        <w:gridCol w:w="1260"/>
      </w:tblGrid>
      <w:tr w14:paraId="3D91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E5614C7">
            <w:pPr>
              <w:pStyle w:val="6"/>
              <w:spacing w:line="360" w:lineRule="auto"/>
              <w:ind w:firstLine="0"/>
              <w:jc w:val="center"/>
              <w:rPr>
                <w:rFonts w:hint="eastAsia" w:ascii="宋体" w:hAnsi="宋体"/>
                <w:highlight w:val="none"/>
              </w:rPr>
            </w:pPr>
            <w:r>
              <w:rPr>
                <w:rFonts w:hint="eastAsia" w:ascii="宋体" w:hAnsi="宋体"/>
                <w:highlight w:val="none"/>
              </w:rPr>
              <w:t>序号</w:t>
            </w:r>
          </w:p>
        </w:tc>
        <w:tc>
          <w:tcPr>
            <w:tcW w:w="1700" w:type="dxa"/>
            <w:vAlign w:val="center"/>
          </w:tcPr>
          <w:p w14:paraId="24C302FA">
            <w:pPr>
              <w:pStyle w:val="6"/>
              <w:spacing w:line="360" w:lineRule="auto"/>
              <w:ind w:firstLine="0"/>
              <w:jc w:val="center"/>
              <w:rPr>
                <w:rFonts w:hint="eastAsia" w:ascii="宋体" w:hAnsi="宋体"/>
                <w:highlight w:val="none"/>
              </w:rPr>
            </w:pPr>
            <w:r>
              <w:rPr>
                <w:rFonts w:hint="eastAsia" w:ascii="宋体" w:hAnsi="宋体"/>
                <w:highlight w:val="none"/>
              </w:rPr>
              <w:t>机械设备名称</w:t>
            </w:r>
          </w:p>
        </w:tc>
        <w:tc>
          <w:tcPr>
            <w:tcW w:w="1320" w:type="dxa"/>
            <w:vAlign w:val="center"/>
          </w:tcPr>
          <w:p w14:paraId="014E768A">
            <w:pPr>
              <w:pStyle w:val="6"/>
              <w:spacing w:line="360" w:lineRule="auto"/>
              <w:ind w:firstLine="0"/>
              <w:jc w:val="center"/>
              <w:rPr>
                <w:rFonts w:hint="eastAsia" w:ascii="宋体" w:hAnsi="宋体"/>
                <w:highlight w:val="none"/>
              </w:rPr>
            </w:pPr>
            <w:r>
              <w:rPr>
                <w:rFonts w:hint="eastAsia" w:ascii="宋体" w:hAnsi="宋体"/>
                <w:highlight w:val="none"/>
              </w:rPr>
              <w:t>型号规格</w:t>
            </w:r>
          </w:p>
        </w:tc>
        <w:tc>
          <w:tcPr>
            <w:tcW w:w="900" w:type="dxa"/>
            <w:vAlign w:val="center"/>
          </w:tcPr>
          <w:p w14:paraId="259DB096">
            <w:pPr>
              <w:pStyle w:val="6"/>
              <w:spacing w:line="360" w:lineRule="auto"/>
              <w:ind w:firstLine="0"/>
              <w:jc w:val="center"/>
              <w:rPr>
                <w:rFonts w:hint="eastAsia" w:ascii="宋体" w:hAnsi="宋体"/>
                <w:highlight w:val="none"/>
              </w:rPr>
            </w:pPr>
            <w:r>
              <w:rPr>
                <w:rFonts w:hint="eastAsia" w:ascii="宋体" w:hAnsi="宋体"/>
                <w:highlight w:val="none"/>
              </w:rPr>
              <w:t>数量</w:t>
            </w:r>
          </w:p>
        </w:tc>
        <w:tc>
          <w:tcPr>
            <w:tcW w:w="1800" w:type="dxa"/>
            <w:vAlign w:val="center"/>
          </w:tcPr>
          <w:p w14:paraId="418DB6A9">
            <w:pPr>
              <w:pStyle w:val="6"/>
              <w:spacing w:line="360" w:lineRule="auto"/>
              <w:ind w:firstLine="0"/>
              <w:jc w:val="center"/>
              <w:rPr>
                <w:rFonts w:hint="eastAsia" w:ascii="宋体" w:hAnsi="宋体"/>
                <w:highlight w:val="none"/>
              </w:rPr>
            </w:pPr>
            <w:r>
              <w:rPr>
                <w:rFonts w:hint="eastAsia" w:ascii="宋体" w:hAnsi="宋体"/>
                <w:highlight w:val="none"/>
              </w:rPr>
              <w:t>国 别</w:t>
            </w:r>
          </w:p>
          <w:p w14:paraId="0CE544DD">
            <w:pPr>
              <w:pStyle w:val="6"/>
              <w:spacing w:line="360" w:lineRule="auto"/>
              <w:ind w:firstLine="0"/>
              <w:jc w:val="center"/>
              <w:rPr>
                <w:rFonts w:hint="eastAsia" w:ascii="宋体" w:hAnsi="宋体"/>
                <w:highlight w:val="none"/>
              </w:rPr>
            </w:pPr>
            <w:r>
              <w:rPr>
                <w:rFonts w:hint="eastAsia" w:ascii="宋体" w:hAnsi="宋体"/>
                <w:highlight w:val="none"/>
              </w:rPr>
              <w:t>产 地</w:t>
            </w:r>
          </w:p>
        </w:tc>
        <w:tc>
          <w:tcPr>
            <w:tcW w:w="1800" w:type="dxa"/>
            <w:vAlign w:val="center"/>
          </w:tcPr>
          <w:p w14:paraId="17D26E89">
            <w:pPr>
              <w:pStyle w:val="6"/>
              <w:spacing w:line="360" w:lineRule="auto"/>
              <w:ind w:firstLine="0"/>
              <w:jc w:val="center"/>
              <w:rPr>
                <w:rFonts w:hint="eastAsia" w:ascii="宋体" w:hAnsi="宋体"/>
                <w:highlight w:val="none"/>
              </w:rPr>
            </w:pPr>
            <w:r>
              <w:rPr>
                <w:rFonts w:hint="eastAsia" w:ascii="宋体" w:hAnsi="宋体"/>
                <w:highlight w:val="none"/>
              </w:rPr>
              <w:t>制 造</w:t>
            </w:r>
          </w:p>
          <w:p w14:paraId="358FAB14">
            <w:pPr>
              <w:pStyle w:val="6"/>
              <w:spacing w:line="360" w:lineRule="auto"/>
              <w:ind w:firstLine="0"/>
              <w:jc w:val="center"/>
              <w:rPr>
                <w:rFonts w:hint="eastAsia" w:ascii="宋体" w:hAnsi="宋体"/>
                <w:highlight w:val="none"/>
              </w:rPr>
            </w:pPr>
            <w:r>
              <w:rPr>
                <w:rFonts w:hint="eastAsia" w:ascii="宋体" w:hAnsi="宋体"/>
                <w:highlight w:val="none"/>
              </w:rPr>
              <w:t>年 份</w:t>
            </w:r>
          </w:p>
        </w:tc>
        <w:tc>
          <w:tcPr>
            <w:tcW w:w="1260" w:type="dxa"/>
            <w:vAlign w:val="center"/>
          </w:tcPr>
          <w:p w14:paraId="6788A581">
            <w:pPr>
              <w:pStyle w:val="6"/>
              <w:spacing w:line="360" w:lineRule="auto"/>
              <w:ind w:firstLine="0"/>
              <w:jc w:val="center"/>
              <w:rPr>
                <w:rFonts w:hint="eastAsia" w:ascii="宋体" w:hAnsi="宋体"/>
                <w:highlight w:val="none"/>
              </w:rPr>
            </w:pPr>
            <w:r>
              <w:rPr>
                <w:rFonts w:hint="eastAsia" w:ascii="宋体" w:hAnsi="宋体"/>
                <w:highlight w:val="none"/>
              </w:rPr>
              <w:t>备注</w:t>
            </w:r>
          </w:p>
        </w:tc>
      </w:tr>
      <w:tr w14:paraId="4668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2DAF9AE">
            <w:pPr>
              <w:pStyle w:val="6"/>
              <w:spacing w:line="360" w:lineRule="auto"/>
              <w:ind w:firstLine="0"/>
              <w:rPr>
                <w:rFonts w:hint="eastAsia" w:ascii="宋体" w:hAnsi="宋体"/>
                <w:highlight w:val="none"/>
              </w:rPr>
            </w:pPr>
          </w:p>
        </w:tc>
        <w:tc>
          <w:tcPr>
            <w:tcW w:w="1700" w:type="dxa"/>
          </w:tcPr>
          <w:p w14:paraId="32FCD6B2">
            <w:pPr>
              <w:pStyle w:val="6"/>
              <w:spacing w:line="360" w:lineRule="auto"/>
              <w:ind w:firstLine="0"/>
              <w:rPr>
                <w:rFonts w:hint="eastAsia" w:ascii="宋体" w:hAnsi="宋体"/>
                <w:highlight w:val="none"/>
              </w:rPr>
            </w:pPr>
          </w:p>
        </w:tc>
        <w:tc>
          <w:tcPr>
            <w:tcW w:w="1320" w:type="dxa"/>
          </w:tcPr>
          <w:p w14:paraId="78B12671">
            <w:pPr>
              <w:pStyle w:val="6"/>
              <w:spacing w:line="360" w:lineRule="auto"/>
              <w:ind w:firstLine="0"/>
              <w:rPr>
                <w:rFonts w:hint="eastAsia" w:ascii="宋体" w:hAnsi="宋体"/>
                <w:highlight w:val="none"/>
              </w:rPr>
            </w:pPr>
          </w:p>
        </w:tc>
        <w:tc>
          <w:tcPr>
            <w:tcW w:w="900" w:type="dxa"/>
          </w:tcPr>
          <w:p w14:paraId="1A4B7177">
            <w:pPr>
              <w:pStyle w:val="6"/>
              <w:spacing w:line="360" w:lineRule="auto"/>
              <w:ind w:firstLine="0"/>
              <w:rPr>
                <w:rFonts w:hint="eastAsia" w:ascii="宋体" w:hAnsi="宋体"/>
                <w:highlight w:val="none"/>
              </w:rPr>
            </w:pPr>
          </w:p>
        </w:tc>
        <w:tc>
          <w:tcPr>
            <w:tcW w:w="1800" w:type="dxa"/>
          </w:tcPr>
          <w:p w14:paraId="20F1DD3A">
            <w:pPr>
              <w:pStyle w:val="6"/>
              <w:spacing w:line="360" w:lineRule="auto"/>
              <w:ind w:firstLine="0"/>
              <w:rPr>
                <w:rFonts w:hint="eastAsia" w:ascii="宋体" w:hAnsi="宋体"/>
                <w:highlight w:val="none"/>
              </w:rPr>
            </w:pPr>
          </w:p>
        </w:tc>
        <w:tc>
          <w:tcPr>
            <w:tcW w:w="1800" w:type="dxa"/>
          </w:tcPr>
          <w:p w14:paraId="6A2FCA48">
            <w:pPr>
              <w:pStyle w:val="6"/>
              <w:spacing w:line="360" w:lineRule="auto"/>
              <w:ind w:firstLine="0"/>
              <w:rPr>
                <w:rFonts w:hint="eastAsia" w:ascii="宋体" w:hAnsi="宋体"/>
                <w:highlight w:val="none"/>
              </w:rPr>
            </w:pPr>
          </w:p>
        </w:tc>
        <w:tc>
          <w:tcPr>
            <w:tcW w:w="1260" w:type="dxa"/>
          </w:tcPr>
          <w:p w14:paraId="15B9CACD">
            <w:pPr>
              <w:pStyle w:val="6"/>
              <w:spacing w:line="360" w:lineRule="auto"/>
              <w:ind w:firstLine="0"/>
              <w:rPr>
                <w:rFonts w:hint="eastAsia" w:ascii="宋体" w:hAnsi="宋体"/>
                <w:highlight w:val="none"/>
              </w:rPr>
            </w:pPr>
          </w:p>
        </w:tc>
      </w:tr>
      <w:tr w14:paraId="7493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3EEB3DA">
            <w:pPr>
              <w:pStyle w:val="6"/>
              <w:spacing w:line="360" w:lineRule="auto"/>
              <w:ind w:firstLine="0"/>
              <w:rPr>
                <w:rFonts w:hint="eastAsia" w:ascii="宋体" w:hAnsi="宋体"/>
                <w:highlight w:val="none"/>
              </w:rPr>
            </w:pPr>
          </w:p>
        </w:tc>
        <w:tc>
          <w:tcPr>
            <w:tcW w:w="1700" w:type="dxa"/>
          </w:tcPr>
          <w:p w14:paraId="7E301EE3">
            <w:pPr>
              <w:pStyle w:val="6"/>
              <w:spacing w:line="360" w:lineRule="auto"/>
              <w:ind w:firstLine="0"/>
              <w:rPr>
                <w:rFonts w:hint="eastAsia" w:ascii="宋体" w:hAnsi="宋体"/>
                <w:highlight w:val="none"/>
              </w:rPr>
            </w:pPr>
          </w:p>
        </w:tc>
        <w:tc>
          <w:tcPr>
            <w:tcW w:w="1320" w:type="dxa"/>
          </w:tcPr>
          <w:p w14:paraId="14567D37">
            <w:pPr>
              <w:pStyle w:val="6"/>
              <w:spacing w:line="360" w:lineRule="auto"/>
              <w:ind w:firstLine="0"/>
              <w:rPr>
                <w:rFonts w:hint="eastAsia" w:ascii="宋体" w:hAnsi="宋体"/>
                <w:highlight w:val="none"/>
              </w:rPr>
            </w:pPr>
          </w:p>
        </w:tc>
        <w:tc>
          <w:tcPr>
            <w:tcW w:w="900" w:type="dxa"/>
          </w:tcPr>
          <w:p w14:paraId="7C16CBB4">
            <w:pPr>
              <w:pStyle w:val="6"/>
              <w:spacing w:line="360" w:lineRule="auto"/>
              <w:ind w:firstLine="0"/>
              <w:rPr>
                <w:rFonts w:hint="eastAsia" w:ascii="宋体" w:hAnsi="宋体"/>
                <w:highlight w:val="none"/>
              </w:rPr>
            </w:pPr>
          </w:p>
        </w:tc>
        <w:tc>
          <w:tcPr>
            <w:tcW w:w="1800" w:type="dxa"/>
          </w:tcPr>
          <w:p w14:paraId="38BC7C57">
            <w:pPr>
              <w:pStyle w:val="6"/>
              <w:spacing w:line="360" w:lineRule="auto"/>
              <w:ind w:firstLine="0"/>
              <w:rPr>
                <w:rFonts w:hint="eastAsia" w:ascii="宋体" w:hAnsi="宋体"/>
                <w:highlight w:val="none"/>
              </w:rPr>
            </w:pPr>
          </w:p>
        </w:tc>
        <w:tc>
          <w:tcPr>
            <w:tcW w:w="1800" w:type="dxa"/>
          </w:tcPr>
          <w:p w14:paraId="0A66BC5E">
            <w:pPr>
              <w:pStyle w:val="6"/>
              <w:spacing w:line="360" w:lineRule="auto"/>
              <w:ind w:firstLine="0"/>
              <w:rPr>
                <w:rFonts w:hint="eastAsia" w:ascii="宋体" w:hAnsi="宋体"/>
                <w:highlight w:val="none"/>
              </w:rPr>
            </w:pPr>
          </w:p>
        </w:tc>
        <w:tc>
          <w:tcPr>
            <w:tcW w:w="1260" w:type="dxa"/>
          </w:tcPr>
          <w:p w14:paraId="40A5245B">
            <w:pPr>
              <w:pStyle w:val="6"/>
              <w:spacing w:line="360" w:lineRule="auto"/>
              <w:ind w:firstLine="0"/>
              <w:rPr>
                <w:rFonts w:hint="eastAsia" w:ascii="宋体" w:hAnsi="宋体"/>
                <w:highlight w:val="none"/>
              </w:rPr>
            </w:pPr>
          </w:p>
        </w:tc>
      </w:tr>
      <w:tr w14:paraId="2E8F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7BD1A20">
            <w:pPr>
              <w:pStyle w:val="6"/>
              <w:spacing w:line="360" w:lineRule="auto"/>
              <w:ind w:firstLine="0"/>
              <w:rPr>
                <w:rFonts w:hint="eastAsia" w:ascii="宋体" w:hAnsi="宋体"/>
                <w:highlight w:val="none"/>
              </w:rPr>
            </w:pPr>
          </w:p>
        </w:tc>
        <w:tc>
          <w:tcPr>
            <w:tcW w:w="1700" w:type="dxa"/>
          </w:tcPr>
          <w:p w14:paraId="2DAEACFE">
            <w:pPr>
              <w:pStyle w:val="6"/>
              <w:spacing w:line="360" w:lineRule="auto"/>
              <w:ind w:firstLine="0"/>
              <w:rPr>
                <w:rFonts w:hint="eastAsia" w:ascii="宋体" w:hAnsi="宋体"/>
                <w:highlight w:val="none"/>
              </w:rPr>
            </w:pPr>
          </w:p>
        </w:tc>
        <w:tc>
          <w:tcPr>
            <w:tcW w:w="1320" w:type="dxa"/>
          </w:tcPr>
          <w:p w14:paraId="6A21BFD8">
            <w:pPr>
              <w:pStyle w:val="6"/>
              <w:spacing w:line="360" w:lineRule="auto"/>
              <w:ind w:firstLine="0"/>
              <w:rPr>
                <w:rFonts w:hint="eastAsia" w:ascii="宋体" w:hAnsi="宋体"/>
                <w:highlight w:val="none"/>
              </w:rPr>
            </w:pPr>
          </w:p>
        </w:tc>
        <w:tc>
          <w:tcPr>
            <w:tcW w:w="900" w:type="dxa"/>
          </w:tcPr>
          <w:p w14:paraId="64B303B0">
            <w:pPr>
              <w:pStyle w:val="6"/>
              <w:spacing w:line="360" w:lineRule="auto"/>
              <w:ind w:firstLine="0"/>
              <w:rPr>
                <w:rFonts w:hint="eastAsia" w:ascii="宋体" w:hAnsi="宋体"/>
                <w:highlight w:val="none"/>
              </w:rPr>
            </w:pPr>
          </w:p>
        </w:tc>
        <w:tc>
          <w:tcPr>
            <w:tcW w:w="1800" w:type="dxa"/>
          </w:tcPr>
          <w:p w14:paraId="22FEBE86">
            <w:pPr>
              <w:pStyle w:val="6"/>
              <w:spacing w:line="360" w:lineRule="auto"/>
              <w:ind w:firstLine="0"/>
              <w:rPr>
                <w:rFonts w:hint="eastAsia" w:ascii="宋体" w:hAnsi="宋体"/>
                <w:highlight w:val="none"/>
              </w:rPr>
            </w:pPr>
          </w:p>
        </w:tc>
        <w:tc>
          <w:tcPr>
            <w:tcW w:w="1800" w:type="dxa"/>
          </w:tcPr>
          <w:p w14:paraId="1341845C">
            <w:pPr>
              <w:pStyle w:val="6"/>
              <w:spacing w:line="360" w:lineRule="auto"/>
              <w:ind w:firstLine="0"/>
              <w:rPr>
                <w:rFonts w:hint="eastAsia" w:ascii="宋体" w:hAnsi="宋体"/>
                <w:highlight w:val="none"/>
              </w:rPr>
            </w:pPr>
          </w:p>
        </w:tc>
        <w:tc>
          <w:tcPr>
            <w:tcW w:w="1260" w:type="dxa"/>
          </w:tcPr>
          <w:p w14:paraId="7CE87F69">
            <w:pPr>
              <w:pStyle w:val="6"/>
              <w:spacing w:line="360" w:lineRule="auto"/>
              <w:ind w:firstLine="0"/>
              <w:rPr>
                <w:rFonts w:hint="eastAsia" w:ascii="宋体" w:hAnsi="宋体"/>
                <w:highlight w:val="none"/>
              </w:rPr>
            </w:pPr>
          </w:p>
        </w:tc>
      </w:tr>
      <w:tr w14:paraId="18C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8033EAE">
            <w:pPr>
              <w:pStyle w:val="6"/>
              <w:spacing w:line="360" w:lineRule="auto"/>
              <w:ind w:firstLine="0"/>
              <w:rPr>
                <w:rFonts w:hint="eastAsia" w:ascii="宋体" w:hAnsi="宋体"/>
                <w:highlight w:val="none"/>
              </w:rPr>
            </w:pPr>
          </w:p>
        </w:tc>
        <w:tc>
          <w:tcPr>
            <w:tcW w:w="1700" w:type="dxa"/>
          </w:tcPr>
          <w:p w14:paraId="7F4D00B9">
            <w:pPr>
              <w:pStyle w:val="6"/>
              <w:spacing w:line="360" w:lineRule="auto"/>
              <w:ind w:firstLine="0"/>
              <w:rPr>
                <w:rFonts w:hint="eastAsia" w:ascii="宋体" w:hAnsi="宋体"/>
                <w:highlight w:val="none"/>
              </w:rPr>
            </w:pPr>
          </w:p>
        </w:tc>
        <w:tc>
          <w:tcPr>
            <w:tcW w:w="1320" w:type="dxa"/>
          </w:tcPr>
          <w:p w14:paraId="5339905B">
            <w:pPr>
              <w:pStyle w:val="6"/>
              <w:spacing w:line="360" w:lineRule="auto"/>
              <w:ind w:firstLine="0"/>
              <w:rPr>
                <w:rFonts w:hint="eastAsia" w:ascii="宋体" w:hAnsi="宋体"/>
                <w:highlight w:val="none"/>
              </w:rPr>
            </w:pPr>
          </w:p>
        </w:tc>
        <w:tc>
          <w:tcPr>
            <w:tcW w:w="900" w:type="dxa"/>
          </w:tcPr>
          <w:p w14:paraId="26B86229">
            <w:pPr>
              <w:pStyle w:val="6"/>
              <w:spacing w:line="360" w:lineRule="auto"/>
              <w:ind w:firstLine="0"/>
              <w:rPr>
                <w:rFonts w:hint="eastAsia" w:ascii="宋体" w:hAnsi="宋体"/>
                <w:highlight w:val="none"/>
              </w:rPr>
            </w:pPr>
          </w:p>
        </w:tc>
        <w:tc>
          <w:tcPr>
            <w:tcW w:w="1800" w:type="dxa"/>
          </w:tcPr>
          <w:p w14:paraId="6C28C1F1">
            <w:pPr>
              <w:pStyle w:val="6"/>
              <w:spacing w:line="360" w:lineRule="auto"/>
              <w:ind w:firstLine="0"/>
              <w:rPr>
                <w:rFonts w:hint="eastAsia" w:ascii="宋体" w:hAnsi="宋体"/>
                <w:highlight w:val="none"/>
              </w:rPr>
            </w:pPr>
          </w:p>
        </w:tc>
        <w:tc>
          <w:tcPr>
            <w:tcW w:w="1800" w:type="dxa"/>
          </w:tcPr>
          <w:p w14:paraId="55B8D96A">
            <w:pPr>
              <w:pStyle w:val="6"/>
              <w:spacing w:line="360" w:lineRule="auto"/>
              <w:ind w:firstLine="0"/>
              <w:rPr>
                <w:rFonts w:hint="eastAsia" w:ascii="宋体" w:hAnsi="宋体"/>
                <w:highlight w:val="none"/>
              </w:rPr>
            </w:pPr>
          </w:p>
        </w:tc>
        <w:tc>
          <w:tcPr>
            <w:tcW w:w="1260" w:type="dxa"/>
          </w:tcPr>
          <w:p w14:paraId="54B37991">
            <w:pPr>
              <w:pStyle w:val="6"/>
              <w:spacing w:line="360" w:lineRule="auto"/>
              <w:ind w:firstLine="0"/>
              <w:rPr>
                <w:rFonts w:hint="eastAsia" w:ascii="宋体" w:hAnsi="宋体"/>
                <w:highlight w:val="none"/>
              </w:rPr>
            </w:pPr>
          </w:p>
        </w:tc>
      </w:tr>
      <w:tr w14:paraId="221B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9BF8374">
            <w:pPr>
              <w:pStyle w:val="6"/>
              <w:spacing w:line="360" w:lineRule="auto"/>
              <w:ind w:firstLine="0"/>
              <w:rPr>
                <w:rFonts w:hint="eastAsia" w:ascii="宋体" w:hAnsi="宋体"/>
                <w:highlight w:val="none"/>
              </w:rPr>
            </w:pPr>
          </w:p>
        </w:tc>
        <w:tc>
          <w:tcPr>
            <w:tcW w:w="1700" w:type="dxa"/>
          </w:tcPr>
          <w:p w14:paraId="14F0B32B">
            <w:pPr>
              <w:pStyle w:val="6"/>
              <w:spacing w:line="360" w:lineRule="auto"/>
              <w:ind w:firstLine="0"/>
              <w:rPr>
                <w:rFonts w:hint="eastAsia" w:ascii="宋体" w:hAnsi="宋体"/>
                <w:highlight w:val="none"/>
              </w:rPr>
            </w:pPr>
          </w:p>
        </w:tc>
        <w:tc>
          <w:tcPr>
            <w:tcW w:w="1320" w:type="dxa"/>
          </w:tcPr>
          <w:p w14:paraId="3273E56B">
            <w:pPr>
              <w:pStyle w:val="6"/>
              <w:spacing w:line="360" w:lineRule="auto"/>
              <w:ind w:firstLine="0"/>
              <w:rPr>
                <w:rFonts w:hint="eastAsia" w:ascii="宋体" w:hAnsi="宋体"/>
                <w:highlight w:val="none"/>
              </w:rPr>
            </w:pPr>
          </w:p>
        </w:tc>
        <w:tc>
          <w:tcPr>
            <w:tcW w:w="900" w:type="dxa"/>
          </w:tcPr>
          <w:p w14:paraId="252EB4C4">
            <w:pPr>
              <w:pStyle w:val="6"/>
              <w:spacing w:line="360" w:lineRule="auto"/>
              <w:ind w:firstLine="0"/>
              <w:rPr>
                <w:rFonts w:hint="eastAsia" w:ascii="宋体" w:hAnsi="宋体"/>
                <w:highlight w:val="none"/>
              </w:rPr>
            </w:pPr>
          </w:p>
        </w:tc>
        <w:tc>
          <w:tcPr>
            <w:tcW w:w="1800" w:type="dxa"/>
          </w:tcPr>
          <w:p w14:paraId="4380C701">
            <w:pPr>
              <w:pStyle w:val="6"/>
              <w:spacing w:line="360" w:lineRule="auto"/>
              <w:ind w:firstLine="0"/>
              <w:rPr>
                <w:rFonts w:hint="eastAsia" w:ascii="宋体" w:hAnsi="宋体"/>
                <w:highlight w:val="none"/>
              </w:rPr>
            </w:pPr>
          </w:p>
        </w:tc>
        <w:tc>
          <w:tcPr>
            <w:tcW w:w="1800" w:type="dxa"/>
          </w:tcPr>
          <w:p w14:paraId="5367616E">
            <w:pPr>
              <w:pStyle w:val="6"/>
              <w:spacing w:line="360" w:lineRule="auto"/>
              <w:ind w:firstLine="0"/>
              <w:rPr>
                <w:rFonts w:hint="eastAsia" w:ascii="宋体" w:hAnsi="宋体"/>
                <w:highlight w:val="none"/>
              </w:rPr>
            </w:pPr>
          </w:p>
        </w:tc>
        <w:tc>
          <w:tcPr>
            <w:tcW w:w="1260" w:type="dxa"/>
          </w:tcPr>
          <w:p w14:paraId="47C1690F">
            <w:pPr>
              <w:pStyle w:val="6"/>
              <w:spacing w:line="360" w:lineRule="auto"/>
              <w:ind w:firstLine="0"/>
              <w:rPr>
                <w:rFonts w:hint="eastAsia" w:ascii="宋体" w:hAnsi="宋体"/>
                <w:highlight w:val="none"/>
              </w:rPr>
            </w:pPr>
          </w:p>
        </w:tc>
      </w:tr>
      <w:tr w14:paraId="6DE6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C55ED38">
            <w:pPr>
              <w:pStyle w:val="6"/>
              <w:spacing w:line="360" w:lineRule="auto"/>
              <w:ind w:firstLine="0"/>
              <w:rPr>
                <w:rFonts w:hint="eastAsia" w:ascii="宋体" w:hAnsi="宋体"/>
                <w:highlight w:val="none"/>
              </w:rPr>
            </w:pPr>
          </w:p>
        </w:tc>
        <w:tc>
          <w:tcPr>
            <w:tcW w:w="1700" w:type="dxa"/>
          </w:tcPr>
          <w:p w14:paraId="0548D4B3">
            <w:pPr>
              <w:pStyle w:val="6"/>
              <w:spacing w:line="360" w:lineRule="auto"/>
              <w:ind w:firstLine="0"/>
              <w:rPr>
                <w:rFonts w:hint="eastAsia" w:ascii="宋体" w:hAnsi="宋体"/>
                <w:highlight w:val="none"/>
              </w:rPr>
            </w:pPr>
          </w:p>
        </w:tc>
        <w:tc>
          <w:tcPr>
            <w:tcW w:w="1320" w:type="dxa"/>
          </w:tcPr>
          <w:p w14:paraId="3E4D81C5">
            <w:pPr>
              <w:pStyle w:val="6"/>
              <w:spacing w:line="360" w:lineRule="auto"/>
              <w:ind w:firstLine="0"/>
              <w:rPr>
                <w:rFonts w:hint="eastAsia" w:ascii="宋体" w:hAnsi="宋体"/>
                <w:highlight w:val="none"/>
              </w:rPr>
            </w:pPr>
          </w:p>
        </w:tc>
        <w:tc>
          <w:tcPr>
            <w:tcW w:w="900" w:type="dxa"/>
          </w:tcPr>
          <w:p w14:paraId="394F740C">
            <w:pPr>
              <w:pStyle w:val="6"/>
              <w:spacing w:line="360" w:lineRule="auto"/>
              <w:ind w:firstLine="0"/>
              <w:rPr>
                <w:rFonts w:hint="eastAsia" w:ascii="宋体" w:hAnsi="宋体"/>
                <w:highlight w:val="none"/>
              </w:rPr>
            </w:pPr>
          </w:p>
        </w:tc>
        <w:tc>
          <w:tcPr>
            <w:tcW w:w="1800" w:type="dxa"/>
          </w:tcPr>
          <w:p w14:paraId="168CEFF3">
            <w:pPr>
              <w:pStyle w:val="6"/>
              <w:spacing w:line="360" w:lineRule="auto"/>
              <w:ind w:firstLine="0"/>
              <w:rPr>
                <w:rFonts w:hint="eastAsia" w:ascii="宋体" w:hAnsi="宋体"/>
                <w:highlight w:val="none"/>
              </w:rPr>
            </w:pPr>
          </w:p>
        </w:tc>
        <w:tc>
          <w:tcPr>
            <w:tcW w:w="1800" w:type="dxa"/>
          </w:tcPr>
          <w:p w14:paraId="168F5147">
            <w:pPr>
              <w:pStyle w:val="6"/>
              <w:spacing w:line="360" w:lineRule="auto"/>
              <w:ind w:firstLine="0"/>
              <w:rPr>
                <w:rFonts w:hint="eastAsia" w:ascii="宋体" w:hAnsi="宋体"/>
                <w:highlight w:val="none"/>
              </w:rPr>
            </w:pPr>
          </w:p>
        </w:tc>
        <w:tc>
          <w:tcPr>
            <w:tcW w:w="1260" w:type="dxa"/>
          </w:tcPr>
          <w:p w14:paraId="21EA7395">
            <w:pPr>
              <w:pStyle w:val="6"/>
              <w:spacing w:line="360" w:lineRule="auto"/>
              <w:ind w:firstLine="0"/>
              <w:rPr>
                <w:rFonts w:hint="eastAsia" w:ascii="宋体" w:hAnsi="宋体"/>
                <w:highlight w:val="none"/>
              </w:rPr>
            </w:pPr>
          </w:p>
        </w:tc>
      </w:tr>
      <w:tr w14:paraId="4C4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C399F85">
            <w:pPr>
              <w:pStyle w:val="6"/>
              <w:spacing w:line="360" w:lineRule="auto"/>
              <w:ind w:firstLine="0"/>
              <w:rPr>
                <w:rFonts w:hint="eastAsia" w:ascii="宋体" w:hAnsi="宋体"/>
                <w:highlight w:val="none"/>
              </w:rPr>
            </w:pPr>
          </w:p>
        </w:tc>
        <w:tc>
          <w:tcPr>
            <w:tcW w:w="1700" w:type="dxa"/>
          </w:tcPr>
          <w:p w14:paraId="0861B4A6">
            <w:pPr>
              <w:pStyle w:val="6"/>
              <w:spacing w:line="360" w:lineRule="auto"/>
              <w:ind w:firstLine="0"/>
              <w:rPr>
                <w:rFonts w:hint="eastAsia" w:ascii="宋体" w:hAnsi="宋体"/>
                <w:highlight w:val="none"/>
              </w:rPr>
            </w:pPr>
          </w:p>
        </w:tc>
        <w:tc>
          <w:tcPr>
            <w:tcW w:w="1320" w:type="dxa"/>
          </w:tcPr>
          <w:p w14:paraId="76374BB9">
            <w:pPr>
              <w:pStyle w:val="6"/>
              <w:spacing w:line="360" w:lineRule="auto"/>
              <w:ind w:firstLine="0"/>
              <w:rPr>
                <w:rFonts w:hint="eastAsia" w:ascii="宋体" w:hAnsi="宋体"/>
                <w:highlight w:val="none"/>
              </w:rPr>
            </w:pPr>
          </w:p>
        </w:tc>
        <w:tc>
          <w:tcPr>
            <w:tcW w:w="900" w:type="dxa"/>
          </w:tcPr>
          <w:p w14:paraId="2088DFFE">
            <w:pPr>
              <w:pStyle w:val="6"/>
              <w:spacing w:line="360" w:lineRule="auto"/>
              <w:ind w:firstLine="0"/>
              <w:rPr>
                <w:rFonts w:hint="eastAsia" w:ascii="宋体" w:hAnsi="宋体"/>
                <w:highlight w:val="none"/>
              </w:rPr>
            </w:pPr>
          </w:p>
        </w:tc>
        <w:tc>
          <w:tcPr>
            <w:tcW w:w="1800" w:type="dxa"/>
          </w:tcPr>
          <w:p w14:paraId="68A4F59A">
            <w:pPr>
              <w:pStyle w:val="6"/>
              <w:spacing w:line="360" w:lineRule="auto"/>
              <w:ind w:firstLine="0"/>
              <w:rPr>
                <w:rFonts w:hint="eastAsia" w:ascii="宋体" w:hAnsi="宋体"/>
                <w:highlight w:val="none"/>
              </w:rPr>
            </w:pPr>
          </w:p>
        </w:tc>
        <w:tc>
          <w:tcPr>
            <w:tcW w:w="1800" w:type="dxa"/>
          </w:tcPr>
          <w:p w14:paraId="030CA3BB">
            <w:pPr>
              <w:pStyle w:val="6"/>
              <w:spacing w:line="360" w:lineRule="auto"/>
              <w:ind w:firstLine="0"/>
              <w:rPr>
                <w:rFonts w:hint="eastAsia" w:ascii="宋体" w:hAnsi="宋体"/>
                <w:highlight w:val="none"/>
              </w:rPr>
            </w:pPr>
          </w:p>
        </w:tc>
        <w:tc>
          <w:tcPr>
            <w:tcW w:w="1260" w:type="dxa"/>
          </w:tcPr>
          <w:p w14:paraId="0FB1B3C4">
            <w:pPr>
              <w:pStyle w:val="6"/>
              <w:spacing w:line="360" w:lineRule="auto"/>
              <w:ind w:firstLine="0"/>
              <w:rPr>
                <w:rFonts w:hint="eastAsia" w:ascii="宋体" w:hAnsi="宋体"/>
                <w:highlight w:val="none"/>
              </w:rPr>
            </w:pPr>
          </w:p>
        </w:tc>
      </w:tr>
      <w:tr w14:paraId="1989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1FE8733">
            <w:pPr>
              <w:pStyle w:val="6"/>
              <w:spacing w:line="360" w:lineRule="auto"/>
              <w:ind w:firstLine="0"/>
              <w:rPr>
                <w:rFonts w:hint="eastAsia" w:ascii="宋体" w:hAnsi="宋体"/>
                <w:highlight w:val="none"/>
              </w:rPr>
            </w:pPr>
          </w:p>
        </w:tc>
        <w:tc>
          <w:tcPr>
            <w:tcW w:w="1700" w:type="dxa"/>
          </w:tcPr>
          <w:p w14:paraId="4F1AADDD">
            <w:pPr>
              <w:pStyle w:val="6"/>
              <w:spacing w:line="360" w:lineRule="auto"/>
              <w:ind w:firstLine="0"/>
              <w:rPr>
                <w:rFonts w:hint="eastAsia" w:ascii="宋体" w:hAnsi="宋体"/>
                <w:highlight w:val="none"/>
              </w:rPr>
            </w:pPr>
          </w:p>
        </w:tc>
        <w:tc>
          <w:tcPr>
            <w:tcW w:w="1320" w:type="dxa"/>
          </w:tcPr>
          <w:p w14:paraId="6FB331B8">
            <w:pPr>
              <w:pStyle w:val="6"/>
              <w:spacing w:line="360" w:lineRule="auto"/>
              <w:ind w:firstLine="0"/>
              <w:rPr>
                <w:rFonts w:hint="eastAsia" w:ascii="宋体" w:hAnsi="宋体"/>
                <w:highlight w:val="none"/>
              </w:rPr>
            </w:pPr>
          </w:p>
        </w:tc>
        <w:tc>
          <w:tcPr>
            <w:tcW w:w="900" w:type="dxa"/>
          </w:tcPr>
          <w:p w14:paraId="13B9FA69">
            <w:pPr>
              <w:pStyle w:val="6"/>
              <w:spacing w:line="360" w:lineRule="auto"/>
              <w:ind w:firstLine="0"/>
              <w:rPr>
                <w:rFonts w:hint="eastAsia" w:ascii="宋体" w:hAnsi="宋体"/>
                <w:highlight w:val="none"/>
              </w:rPr>
            </w:pPr>
          </w:p>
        </w:tc>
        <w:tc>
          <w:tcPr>
            <w:tcW w:w="1800" w:type="dxa"/>
          </w:tcPr>
          <w:p w14:paraId="7713533C">
            <w:pPr>
              <w:pStyle w:val="6"/>
              <w:spacing w:line="360" w:lineRule="auto"/>
              <w:ind w:firstLine="0"/>
              <w:rPr>
                <w:rFonts w:hint="eastAsia" w:ascii="宋体" w:hAnsi="宋体"/>
                <w:highlight w:val="none"/>
              </w:rPr>
            </w:pPr>
          </w:p>
        </w:tc>
        <w:tc>
          <w:tcPr>
            <w:tcW w:w="1800" w:type="dxa"/>
          </w:tcPr>
          <w:p w14:paraId="18E2AA9E">
            <w:pPr>
              <w:pStyle w:val="6"/>
              <w:spacing w:line="360" w:lineRule="auto"/>
              <w:ind w:firstLine="0"/>
              <w:rPr>
                <w:rFonts w:hint="eastAsia" w:ascii="宋体" w:hAnsi="宋体"/>
                <w:highlight w:val="none"/>
              </w:rPr>
            </w:pPr>
          </w:p>
        </w:tc>
        <w:tc>
          <w:tcPr>
            <w:tcW w:w="1260" w:type="dxa"/>
          </w:tcPr>
          <w:p w14:paraId="3361A7D0">
            <w:pPr>
              <w:pStyle w:val="6"/>
              <w:spacing w:line="360" w:lineRule="auto"/>
              <w:ind w:firstLine="0"/>
              <w:rPr>
                <w:rFonts w:hint="eastAsia" w:ascii="宋体" w:hAnsi="宋体"/>
                <w:highlight w:val="none"/>
              </w:rPr>
            </w:pPr>
          </w:p>
        </w:tc>
      </w:tr>
      <w:tr w14:paraId="2A87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1D20DA3">
            <w:pPr>
              <w:pStyle w:val="6"/>
              <w:spacing w:line="360" w:lineRule="auto"/>
              <w:ind w:firstLine="0"/>
              <w:rPr>
                <w:rFonts w:hint="eastAsia" w:ascii="宋体" w:hAnsi="宋体"/>
                <w:highlight w:val="none"/>
              </w:rPr>
            </w:pPr>
          </w:p>
        </w:tc>
        <w:tc>
          <w:tcPr>
            <w:tcW w:w="1700" w:type="dxa"/>
          </w:tcPr>
          <w:p w14:paraId="1D460E01">
            <w:pPr>
              <w:pStyle w:val="6"/>
              <w:spacing w:line="360" w:lineRule="auto"/>
              <w:ind w:firstLine="0"/>
              <w:rPr>
                <w:rFonts w:hint="eastAsia" w:ascii="宋体" w:hAnsi="宋体"/>
                <w:highlight w:val="none"/>
              </w:rPr>
            </w:pPr>
          </w:p>
        </w:tc>
        <w:tc>
          <w:tcPr>
            <w:tcW w:w="1320" w:type="dxa"/>
          </w:tcPr>
          <w:p w14:paraId="78AF75A8">
            <w:pPr>
              <w:pStyle w:val="6"/>
              <w:spacing w:line="360" w:lineRule="auto"/>
              <w:ind w:firstLine="0"/>
              <w:rPr>
                <w:rFonts w:hint="eastAsia" w:ascii="宋体" w:hAnsi="宋体"/>
                <w:highlight w:val="none"/>
              </w:rPr>
            </w:pPr>
          </w:p>
        </w:tc>
        <w:tc>
          <w:tcPr>
            <w:tcW w:w="900" w:type="dxa"/>
          </w:tcPr>
          <w:p w14:paraId="2A1325D0">
            <w:pPr>
              <w:pStyle w:val="6"/>
              <w:spacing w:line="360" w:lineRule="auto"/>
              <w:ind w:firstLine="0"/>
              <w:rPr>
                <w:rFonts w:hint="eastAsia" w:ascii="宋体" w:hAnsi="宋体"/>
                <w:highlight w:val="none"/>
              </w:rPr>
            </w:pPr>
          </w:p>
        </w:tc>
        <w:tc>
          <w:tcPr>
            <w:tcW w:w="1800" w:type="dxa"/>
          </w:tcPr>
          <w:p w14:paraId="5472173D">
            <w:pPr>
              <w:pStyle w:val="6"/>
              <w:spacing w:line="360" w:lineRule="auto"/>
              <w:ind w:firstLine="0"/>
              <w:rPr>
                <w:rFonts w:hint="eastAsia" w:ascii="宋体" w:hAnsi="宋体"/>
                <w:highlight w:val="none"/>
              </w:rPr>
            </w:pPr>
          </w:p>
        </w:tc>
        <w:tc>
          <w:tcPr>
            <w:tcW w:w="1800" w:type="dxa"/>
          </w:tcPr>
          <w:p w14:paraId="1C7FFB5A">
            <w:pPr>
              <w:pStyle w:val="6"/>
              <w:spacing w:line="360" w:lineRule="auto"/>
              <w:ind w:firstLine="0"/>
              <w:rPr>
                <w:rFonts w:hint="eastAsia" w:ascii="宋体" w:hAnsi="宋体"/>
                <w:highlight w:val="none"/>
              </w:rPr>
            </w:pPr>
          </w:p>
        </w:tc>
        <w:tc>
          <w:tcPr>
            <w:tcW w:w="1260" w:type="dxa"/>
          </w:tcPr>
          <w:p w14:paraId="6D794565">
            <w:pPr>
              <w:pStyle w:val="6"/>
              <w:spacing w:line="360" w:lineRule="auto"/>
              <w:ind w:firstLine="0"/>
              <w:rPr>
                <w:rFonts w:hint="eastAsia" w:ascii="宋体" w:hAnsi="宋体"/>
                <w:highlight w:val="none"/>
              </w:rPr>
            </w:pPr>
          </w:p>
        </w:tc>
      </w:tr>
      <w:tr w14:paraId="5863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91450FA">
            <w:pPr>
              <w:pStyle w:val="6"/>
              <w:spacing w:line="360" w:lineRule="auto"/>
              <w:ind w:firstLine="0"/>
              <w:rPr>
                <w:rFonts w:hint="eastAsia" w:ascii="宋体" w:hAnsi="宋体"/>
                <w:highlight w:val="none"/>
              </w:rPr>
            </w:pPr>
          </w:p>
        </w:tc>
        <w:tc>
          <w:tcPr>
            <w:tcW w:w="1700" w:type="dxa"/>
          </w:tcPr>
          <w:p w14:paraId="3A14A4F8">
            <w:pPr>
              <w:pStyle w:val="6"/>
              <w:spacing w:line="360" w:lineRule="auto"/>
              <w:ind w:firstLine="0"/>
              <w:rPr>
                <w:rFonts w:hint="eastAsia" w:ascii="宋体" w:hAnsi="宋体"/>
                <w:highlight w:val="none"/>
              </w:rPr>
            </w:pPr>
          </w:p>
        </w:tc>
        <w:tc>
          <w:tcPr>
            <w:tcW w:w="1320" w:type="dxa"/>
          </w:tcPr>
          <w:p w14:paraId="6369C4F1">
            <w:pPr>
              <w:pStyle w:val="6"/>
              <w:spacing w:line="360" w:lineRule="auto"/>
              <w:ind w:firstLine="0"/>
              <w:rPr>
                <w:rFonts w:hint="eastAsia" w:ascii="宋体" w:hAnsi="宋体"/>
                <w:highlight w:val="none"/>
              </w:rPr>
            </w:pPr>
          </w:p>
        </w:tc>
        <w:tc>
          <w:tcPr>
            <w:tcW w:w="900" w:type="dxa"/>
          </w:tcPr>
          <w:p w14:paraId="05C35416">
            <w:pPr>
              <w:pStyle w:val="6"/>
              <w:spacing w:line="360" w:lineRule="auto"/>
              <w:ind w:firstLine="0"/>
              <w:rPr>
                <w:rFonts w:hint="eastAsia" w:ascii="宋体" w:hAnsi="宋体"/>
                <w:highlight w:val="none"/>
              </w:rPr>
            </w:pPr>
          </w:p>
        </w:tc>
        <w:tc>
          <w:tcPr>
            <w:tcW w:w="1800" w:type="dxa"/>
          </w:tcPr>
          <w:p w14:paraId="6B87553D">
            <w:pPr>
              <w:pStyle w:val="6"/>
              <w:spacing w:line="360" w:lineRule="auto"/>
              <w:ind w:firstLine="0"/>
              <w:rPr>
                <w:rFonts w:hint="eastAsia" w:ascii="宋体" w:hAnsi="宋体"/>
                <w:highlight w:val="none"/>
              </w:rPr>
            </w:pPr>
          </w:p>
        </w:tc>
        <w:tc>
          <w:tcPr>
            <w:tcW w:w="1800" w:type="dxa"/>
          </w:tcPr>
          <w:p w14:paraId="595C1FC1">
            <w:pPr>
              <w:pStyle w:val="6"/>
              <w:spacing w:line="360" w:lineRule="auto"/>
              <w:ind w:firstLine="0"/>
              <w:rPr>
                <w:rFonts w:hint="eastAsia" w:ascii="宋体" w:hAnsi="宋体"/>
                <w:highlight w:val="none"/>
              </w:rPr>
            </w:pPr>
          </w:p>
        </w:tc>
        <w:tc>
          <w:tcPr>
            <w:tcW w:w="1260" w:type="dxa"/>
          </w:tcPr>
          <w:p w14:paraId="0D04FCAE">
            <w:pPr>
              <w:pStyle w:val="6"/>
              <w:spacing w:line="360" w:lineRule="auto"/>
              <w:ind w:firstLine="0"/>
              <w:rPr>
                <w:rFonts w:hint="eastAsia" w:ascii="宋体" w:hAnsi="宋体"/>
                <w:highlight w:val="none"/>
              </w:rPr>
            </w:pPr>
          </w:p>
        </w:tc>
      </w:tr>
      <w:tr w14:paraId="4153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97A4FC3">
            <w:pPr>
              <w:pStyle w:val="6"/>
              <w:spacing w:line="360" w:lineRule="auto"/>
              <w:ind w:firstLine="0"/>
              <w:rPr>
                <w:rFonts w:hint="eastAsia" w:ascii="宋体" w:hAnsi="宋体"/>
                <w:highlight w:val="none"/>
              </w:rPr>
            </w:pPr>
          </w:p>
        </w:tc>
        <w:tc>
          <w:tcPr>
            <w:tcW w:w="1700" w:type="dxa"/>
          </w:tcPr>
          <w:p w14:paraId="0FE9B6A3">
            <w:pPr>
              <w:pStyle w:val="6"/>
              <w:spacing w:line="360" w:lineRule="auto"/>
              <w:ind w:firstLine="0"/>
              <w:rPr>
                <w:rFonts w:hint="eastAsia" w:ascii="宋体" w:hAnsi="宋体"/>
                <w:highlight w:val="none"/>
              </w:rPr>
            </w:pPr>
          </w:p>
        </w:tc>
        <w:tc>
          <w:tcPr>
            <w:tcW w:w="1320" w:type="dxa"/>
          </w:tcPr>
          <w:p w14:paraId="3077EBD0">
            <w:pPr>
              <w:pStyle w:val="6"/>
              <w:spacing w:line="360" w:lineRule="auto"/>
              <w:ind w:firstLine="0"/>
              <w:rPr>
                <w:rFonts w:hint="eastAsia" w:ascii="宋体" w:hAnsi="宋体"/>
                <w:highlight w:val="none"/>
              </w:rPr>
            </w:pPr>
          </w:p>
        </w:tc>
        <w:tc>
          <w:tcPr>
            <w:tcW w:w="900" w:type="dxa"/>
          </w:tcPr>
          <w:p w14:paraId="7D045521">
            <w:pPr>
              <w:pStyle w:val="6"/>
              <w:spacing w:line="360" w:lineRule="auto"/>
              <w:ind w:firstLine="0"/>
              <w:rPr>
                <w:rFonts w:hint="eastAsia" w:ascii="宋体" w:hAnsi="宋体"/>
                <w:highlight w:val="none"/>
              </w:rPr>
            </w:pPr>
          </w:p>
        </w:tc>
        <w:tc>
          <w:tcPr>
            <w:tcW w:w="1800" w:type="dxa"/>
          </w:tcPr>
          <w:p w14:paraId="7B93E8A9">
            <w:pPr>
              <w:pStyle w:val="6"/>
              <w:spacing w:line="360" w:lineRule="auto"/>
              <w:ind w:firstLine="0"/>
              <w:rPr>
                <w:rFonts w:hint="eastAsia" w:ascii="宋体" w:hAnsi="宋体"/>
                <w:highlight w:val="none"/>
              </w:rPr>
            </w:pPr>
          </w:p>
        </w:tc>
        <w:tc>
          <w:tcPr>
            <w:tcW w:w="1800" w:type="dxa"/>
          </w:tcPr>
          <w:p w14:paraId="62C332DF">
            <w:pPr>
              <w:pStyle w:val="6"/>
              <w:spacing w:line="360" w:lineRule="auto"/>
              <w:ind w:firstLine="0"/>
              <w:rPr>
                <w:rFonts w:hint="eastAsia" w:ascii="宋体" w:hAnsi="宋体"/>
                <w:highlight w:val="none"/>
              </w:rPr>
            </w:pPr>
          </w:p>
        </w:tc>
        <w:tc>
          <w:tcPr>
            <w:tcW w:w="1260" w:type="dxa"/>
          </w:tcPr>
          <w:p w14:paraId="4375FDD7">
            <w:pPr>
              <w:pStyle w:val="6"/>
              <w:spacing w:line="360" w:lineRule="auto"/>
              <w:ind w:firstLine="0"/>
              <w:rPr>
                <w:rFonts w:hint="eastAsia" w:ascii="宋体" w:hAnsi="宋体"/>
                <w:highlight w:val="none"/>
              </w:rPr>
            </w:pPr>
          </w:p>
        </w:tc>
      </w:tr>
      <w:tr w14:paraId="7873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717AD02">
            <w:pPr>
              <w:pStyle w:val="6"/>
              <w:spacing w:line="360" w:lineRule="auto"/>
              <w:ind w:firstLine="0"/>
              <w:rPr>
                <w:rFonts w:hint="eastAsia" w:ascii="宋体" w:hAnsi="宋体"/>
                <w:highlight w:val="none"/>
              </w:rPr>
            </w:pPr>
          </w:p>
        </w:tc>
        <w:tc>
          <w:tcPr>
            <w:tcW w:w="1700" w:type="dxa"/>
          </w:tcPr>
          <w:p w14:paraId="457FEB37">
            <w:pPr>
              <w:pStyle w:val="6"/>
              <w:spacing w:line="360" w:lineRule="auto"/>
              <w:ind w:firstLine="0"/>
              <w:rPr>
                <w:rFonts w:hint="eastAsia" w:ascii="宋体" w:hAnsi="宋体"/>
                <w:highlight w:val="none"/>
              </w:rPr>
            </w:pPr>
          </w:p>
        </w:tc>
        <w:tc>
          <w:tcPr>
            <w:tcW w:w="1320" w:type="dxa"/>
          </w:tcPr>
          <w:p w14:paraId="52A991D3">
            <w:pPr>
              <w:pStyle w:val="6"/>
              <w:spacing w:line="360" w:lineRule="auto"/>
              <w:ind w:firstLine="0"/>
              <w:rPr>
                <w:rFonts w:hint="eastAsia" w:ascii="宋体" w:hAnsi="宋体"/>
                <w:highlight w:val="none"/>
              </w:rPr>
            </w:pPr>
          </w:p>
        </w:tc>
        <w:tc>
          <w:tcPr>
            <w:tcW w:w="900" w:type="dxa"/>
          </w:tcPr>
          <w:p w14:paraId="3BB6296E">
            <w:pPr>
              <w:pStyle w:val="6"/>
              <w:spacing w:line="360" w:lineRule="auto"/>
              <w:ind w:firstLine="0"/>
              <w:rPr>
                <w:rFonts w:hint="eastAsia" w:ascii="宋体" w:hAnsi="宋体"/>
                <w:highlight w:val="none"/>
              </w:rPr>
            </w:pPr>
          </w:p>
        </w:tc>
        <w:tc>
          <w:tcPr>
            <w:tcW w:w="1800" w:type="dxa"/>
          </w:tcPr>
          <w:p w14:paraId="6A0908C6">
            <w:pPr>
              <w:pStyle w:val="6"/>
              <w:spacing w:line="360" w:lineRule="auto"/>
              <w:ind w:firstLine="0"/>
              <w:rPr>
                <w:rFonts w:hint="eastAsia" w:ascii="宋体" w:hAnsi="宋体"/>
                <w:highlight w:val="none"/>
              </w:rPr>
            </w:pPr>
          </w:p>
        </w:tc>
        <w:tc>
          <w:tcPr>
            <w:tcW w:w="1800" w:type="dxa"/>
          </w:tcPr>
          <w:p w14:paraId="55BCBB27">
            <w:pPr>
              <w:pStyle w:val="6"/>
              <w:spacing w:line="360" w:lineRule="auto"/>
              <w:ind w:firstLine="0"/>
              <w:rPr>
                <w:rFonts w:hint="eastAsia" w:ascii="宋体" w:hAnsi="宋体"/>
                <w:highlight w:val="none"/>
              </w:rPr>
            </w:pPr>
          </w:p>
        </w:tc>
        <w:tc>
          <w:tcPr>
            <w:tcW w:w="1260" w:type="dxa"/>
          </w:tcPr>
          <w:p w14:paraId="07E7617D">
            <w:pPr>
              <w:pStyle w:val="6"/>
              <w:spacing w:line="360" w:lineRule="auto"/>
              <w:ind w:firstLine="0"/>
              <w:rPr>
                <w:rFonts w:hint="eastAsia" w:ascii="宋体" w:hAnsi="宋体"/>
                <w:highlight w:val="none"/>
              </w:rPr>
            </w:pPr>
          </w:p>
        </w:tc>
      </w:tr>
      <w:tr w14:paraId="76F6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3B05E12">
            <w:pPr>
              <w:pStyle w:val="6"/>
              <w:spacing w:line="360" w:lineRule="auto"/>
              <w:ind w:firstLine="0"/>
              <w:rPr>
                <w:rFonts w:hint="eastAsia" w:ascii="宋体" w:hAnsi="宋体"/>
                <w:highlight w:val="none"/>
              </w:rPr>
            </w:pPr>
          </w:p>
        </w:tc>
        <w:tc>
          <w:tcPr>
            <w:tcW w:w="1700" w:type="dxa"/>
          </w:tcPr>
          <w:p w14:paraId="3DFD78E2">
            <w:pPr>
              <w:pStyle w:val="6"/>
              <w:spacing w:line="360" w:lineRule="auto"/>
              <w:ind w:firstLine="0"/>
              <w:rPr>
                <w:rFonts w:hint="eastAsia" w:ascii="宋体" w:hAnsi="宋体"/>
                <w:highlight w:val="none"/>
              </w:rPr>
            </w:pPr>
          </w:p>
        </w:tc>
        <w:tc>
          <w:tcPr>
            <w:tcW w:w="1320" w:type="dxa"/>
          </w:tcPr>
          <w:p w14:paraId="44EF2516">
            <w:pPr>
              <w:pStyle w:val="6"/>
              <w:spacing w:line="360" w:lineRule="auto"/>
              <w:ind w:firstLine="0"/>
              <w:rPr>
                <w:rFonts w:hint="eastAsia" w:ascii="宋体" w:hAnsi="宋体"/>
                <w:highlight w:val="none"/>
              </w:rPr>
            </w:pPr>
          </w:p>
        </w:tc>
        <w:tc>
          <w:tcPr>
            <w:tcW w:w="900" w:type="dxa"/>
          </w:tcPr>
          <w:p w14:paraId="189DEBD8">
            <w:pPr>
              <w:pStyle w:val="6"/>
              <w:spacing w:line="360" w:lineRule="auto"/>
              <w:ind w:firstLine="0"/>
              <w:rPr>
                <w:rFonts w:hint="eastAsia" w:ascii="宋体" w:hAnsi="宋体"/>
                <w:highlight w:val="none"/>
              </w:rPr>
            </w:pPr>
          </w:p>
        </w:tc>
        <w:tc>
          <w:tcPr>
            <w:tcW w:w="1800" w:type="dxa"/>
          </w:tcPr>
          <w:p w14:paraId="01304163">
            <w:pPr>
              <w:pStyle w:val="6"/>
              <w:spacing w:line="360" w:lineRule="auto"/>
              <w:ind w:firstLine="0"/>
              <w:rPr>
                <w:rFonts w:hint="eastAsia" w:ascii="宋体" w:hAnsi="宋体"/>
                <w:highlight w:val="none"/>
              </w:rPr>
            </w:pPr>
          </w:p>
        </w:tc>
        <w:tc>
          <w:tcPr>
            <w:tcW w:w="1800" w:type="dxa"/>
          </w:tcPr>
          <w:p w14:paraId="6ADE9B40">
            <w:pPr>
              <w:pStyle w:val="6"/>
              <w:spacing w:line="360" w:lineRule="auto"/>
              <w:ind w:firstLine="0"/>
              <w:rPr>
                <w:rFonts w:hint="eastAsia" w:ascii="宋体" w:hAnsi="宋体"/>
                <w:highlight w:val="none"/>
              </w:rPr>
            </w:pPr>
          </w:p>
        </w:tc>
        <w:tc>
          <w:tcPr>
            <w:tcW w:w="1260" w:type="dxa"/>
          </w:tcPr>
          <w:p w14:paraId="3960A3AA">
            <w:pPr>
              <w:pStyle w:val="6"/>
              <w:spacing w:line="360" w:lineRule="auto"/>
              <w:ind w:firstLine="0"/>
              <w:rPr>
                <w:rFonts w:hint="eastAsia" w:ascii="宋体" w:hAnsi="宋体"/>
                <w:highlight w:val="none"/>
              </w:rPr>
            </w:pPr>
          </w:p>
        </w:tc>
      </w:tr>
      <w:tr w14:paraId="382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52D8523">
            <w:pPr>
              <w:pStyle w:val="6"/>
              <w:spacing w:line="360" w:lineRule="auto"/>
              <w:ind w:firstLine="0"/>
              <w:rPr>
                <w:rFonts w:hint="eastAsia" w:ascii="宋体" w:hAnsi="宋体"/>
                <w:highlight w:val="none"/>
              </w:rPr>
            </w:pPr>
          </w:p>
        </w:tc>
        <w:tc>
          <w:tcPr>
            <w:tcW w:w="1700" w:type="dxa"/>
          </w:tcPr>
          <w:p w14:paraId="465A4CF5">
            <w:pPr>
              <w:pStyle w:val="6"/>
              <w:spacing w:line="360" w:lineRule="auto"/>
              <w:ind w:firstLine="0"/>
              <w:rPr>
                <w:rFonts w:hint="eastAsia" w:ascii="宋体" w:hAnsi="宋体"/>
                <w:highlight w:val="none"/>
              </w:rPr>
            </w:pPr>
          </w:p>
        </w:tc>
        <w:tc>
          <w:tcPr>
            <w:tcW w:w="1320" w:type="dxa"/>
          </w:tcPr>
          <w:p w14:paraId="2A103720">
            <w:pPr>
              <w:pStyle w:val="6"/>
              <w:spacing w:line="360" w:lineRule="auto"/>
              <w:ind w:firstLine="0"/>
              <w:rPr>
                <w:rFonts w:hint="eastAsia" w:ascii="宋体" w:hAnsi="宋体"/>
                <w:highlight w:val="none"/>
              </w:rPr>
            </w:pPr>
          </w:p>
        </w:tc>
        <w:tc>
          <w:tcPr>
            <w:tcW w:w="900" w:type="dxa"/>
          </w:tcPr>
          <w:p w14:paraId="7359870A">
            <w:pPr>
              <w:pStyle w:val="6"/>
              <w:spacing w:line="360" w:lineRule="auto"/>
              <w:ind w:firstLine="0"/>
              <w:rPr>
                <w:rFonts w:hint="eastAsia" w:ascii="宋体" w:hAnsi="宋体"/>
                <w:highlight w:val="none"/>
              </w:rPr>
            </w:pPr>
          </w:p>
        </w:tc>
        <w:tc>
          <w:tcPr>
            <w:tcW w:w="1800" w:type="dxa"/>
          </w:tcPr>
          <w:p w14:paraId="45E80E28">
            <w:pPr>
              <w:pStyle w:val="6"/>
              <w:spacing w:line="360" w:lineRule="auto"/>
              <w:ind w:firstLine="0"/>
              <w:rPr>
                <w:rFonts w:hint="eastAsia" w:ascii="宋体" w:hAnsi="宋体"/>
                <w:highlight w:val="none"/>
              </w:rPr>
            </w:pPr>
          </w:p>
        </w:tc>
        <w:tc>
          <w:tcPr>
            <w:tcW w:w="1800" w:type="dxa"/>
          </w:tcPr>
          <w:p w14:paraId="4E024B18">
            <w:pPr>
              <w:pStyle w:val="6"/>
              <w:spacing w:line="360" w:lineRule="auto"/>
              <w:ind w:firstLine="0"/>
              <w:rPr>
                <w:rFonts w:hint="eastAsia" w:ascii="宋体" w:hAnsi="宋体"/>
                <w:highlight w:val="none"/>
              </w:rPr>
            </w:pPr>
          </w:p>
        </w:tc>
        <w:tc>
          <w:tcPr>
            <w:tcW w:w="1260" w:type="dxa"/>
          </w:tcPr>
          <w:p w14:paraId="7B3DA4C5">
            <w:pPr>
              <w:pStyle w:val="6"/>
              <w:spacing w:line="360" w:lineRule="auto"/>
              <w:ind w:firstLine="0"/>
              <w:rPr>
                <w:rFonts w:hint="eastAsia" w:ascii="宋体" w:hAnsi="宋体"/>
                <w:highlight w:val="none"/>
              </w:rPr>
            </w:pPr>
          </w:p>
        </w:tc>
      </w:tr>
      <w:tr w14:paraId="1776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A3FC6F1">
            <w:pPr>
              <w:pStyle w:val="6"/>
              <w:spacing w:line="360" w:lineRule="auto"/>
              <w:ind w:firstLine="0"/>
              <w:rPr>
                <w:rFonts w:hint="eastAsia" w:ascii="宋体" w:hAnsi="宋体"/>
                <w:highlight w:val="none"/>
              </w:rPr>
            </w:pPr>
          </w:p>
        </w:tc>
        <w:tc>
          <w:tcPr>
            <w:tcW w:w="1700" w:type="dxa"/>
          </w:tcPr>
          <w:p w14:paraId="57407A68">
            <w:pPr>
              <w:pStyle w:val="6"/>
              <w:spacing w:line="360" w:lineRule="auto"/>
              <w:ind w:firstLine="0"/>
              <w:rPr>
                <w:rFonts w:hint="eastAsia" w:ascii="宋体" w:hAnsi="宋体"/>
                <w:highlight w:val="none"/>
              </w:rPr>
            </w:pPr>
          </w:p>
        </w:tc>
        <w:tc>
          <w:tcPr>
            <w:tcW w:w="1320" w:type="dxa"/>
          </w:tcPr>
          <w:p w14:paraId="2AB8F871">
            <w:pPr>
              <w:pStyle w:val="6"/>
              <w:spacing w:line="360" w:lineRule="auto"/>
              <w:ind w:firstLine="0"/>
              <w:rPr>
                <w:rFonts w:hint="eastAsia" w:ascii="宋体" w:hAnsi="宋体"/>
                <w:highlight w:val="none"/>
              </w:rPr>
            </w:pPr>
          </w:p>
        </w:tc>
        <w:tc>
          <w:tcPr>
            <w:tcW w:w="900" w:type="dxa"/>
          </w:tcPr>
          <w:p w14:paraId="39C108F6">
            <w:pPr>
              <w:pStyle w:val="6"/>
              <w:spacing w:line="360" w:lineRule="auto"/>
              <w:ind w:firstLine="0"/>
              <w:rPr>
                <w:rFonts w:hint="eastAsia" w:ascii="宋体" w:hAnsi="宋体"/>
                <w:highlight w:val="none"/>
              </w:rPr>
            </w:pPr>
          </w:p>
        </w:tc>
        <w:tc>
          <w:tcPr>
            <w:tcW w:w="1800" w:type="dxa"/>
          </w:tcPr>
          <w:p w14:paraId="333565A3">
            <w:pPr>
              <w:pStyle w:val="6"/>
              <w:spacing w:line="360" w:lineRule="auto"/>
              <w:ind w:firstLine="0"/>
              <w:rPr>
                <w:rFonts w:hint="eastAsia" w:ascii="宋体" w:hAnsi="宋体"/>
                <w:highlight w:val="none"/>
              </w:rPr>
            </w:pPr>
          </w:p>
        </w:tc>
        <w:tc>
          <w:tcPr>
            <w:tcW w:w="1800" w:type="dxa"/>
          </w:tcPr>
          <w:p w14:paraId="7C49C4F8">
            <w:pPr>
              <w:pStyle w:val="6"/>
              <w:spacing w:line="360" w:lineRule="auto"/>
              <w:ind w:firstLine="0"/>
              <w:rPr>
                <w:rFonts w:hint="eastAsia" w:ascii="宋体" w:hAnsi="宋体"/>
                <w:highlight w:val="none"/>
              </w:rPr>
            </w:pPr>
          </w:p>
        </w:tc>
        <w:tc>
          <w:tcPr>
            <w:tcW w:w="1260" w:type="dxa"/>
          </w:tcPr>
          <w:p w14:paraId="3EA29A29">
            <w:pPr>
              <w:pStyle w:val="6"/>
              <w:spacing w:line="360" w:lineRule="auto"/>
              <w:ind w:firstLine="0"/>
              <w:rPr>
                <w:rFonts w:hint="eastAsia" w:ascii="宋体" w:hAnsi="宋体"/>
                <w:highlight w:val="none"/>
              </w:rPr>
            </w:pPr>
          </w:p>
        </w:tc>
      </w:tr>
      <w:tr w14:paraId="7A58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DB1D885">
            <w:pPr>
              <w:pStyle w:val="6"/>
              <w:spacing w:line="360" w:lineRule="auto"/>
              <w:ind w:firstLine="0"/>
              <w:rPr>
                <w:rFonts w:hint="eastAsia" w:ascii="宋体" w:hAnsi="宋体"/>
                <w:highlight w:val="none"/>
              </w:rPr>
            </w:pPr>
          </w:p>
        </w:tc>
        <w:tc>
          <w:tcPr>
            <w:tcW w:w="1700" w:type="dxa"/>
          </w:tcPr>
          <w:p w14:paraId="47E141EB">
            <w:pPr>
              <w:pStyle w:val="6"/>
              <w:spacing w:line="360" w:lineRule="auto"/>
              <w:ind w:firstLine="0"/>
              <w:rPr>
                <w:rFonts w:hint="eastAsia" w:ascii="宋体" w:hAnsi="宋体"/>
                <w:highlight w:val="none"/>
              </w:rPr>
            </w:pPr>
          </w:p>
        </w:tc>
        <w:tc>
          <w:tcPr>
            <w:tcW w:w="1320" w:type="dxa"/>
          </w:tcPr>
          <w:p w14:paraId="5FE21431">
            <w:pPr>
              <w:pStyle w:val="6"/>
              <w:spacing w:line="360" w:lineRule="auto"/>
              <w:ind w:firstLine="0"/>
              <w:rPr>
                <w:rFonts w:hint="eastAsia" w:ascii="宋体" w:hAnsi="宋体"/>
                <w:highlight w:val="none"/>
              </w:rPr>
            </w:pPr>
          </w:p>
        </w:tc>
        <w:tc>
          <w:tcPr>
            <w:tcW w:w="900" w:type="dxa"/>
          </w:tcPr>
          <w:p w14:paraId="4D7E8927">
            <w:pPr>
              <w:pStyle w:val="6"/>
              <w:spacing w:line="360" w:lineRule="auto"/>
              <w:ind w:firstLine="0"/>
              <w:rPr>
                <w:rFonts w:hint="eastAsia" w:ascii="宋体" w:hAnsi="宋体"/>
                <w:highlight w:val="none"/>
              </w:rPr>
            </w:pPr>
          </w:p>
        </w:tc>
        <w:tc>
          <w:tcPr>
            <w:tcW w:w="1800" w:type="dxa"/>
          </w:tcPr>
          <w:p w14:paraId="55D7F1B4">
            <w:pPr>
              <w:pStyle w:val="6"/>
              <w:spacing w:line="360" w:lineRule="auto"/>
              <w:ind w:firstLine="0"/>
              <w:rPr>
                <w:rFonts w:hint="eastAsia" w:ascii="宋体" w:hAnsi="宋体"/>
                <w:highlight w:val="none"/>
              </w:rPr>
            </w:pPr>
          </w:p>
        </w:tc>
        <w:tc>
          <w:tcPr>
            <w:tcW w:w="1800" w:type="dxa"/>
          </w:tcPr>
          <w:p w14:paraId="36CF7BAB">
            <w:pPr>
              <w:pStyle w:val="6"/>
              <w:spacing w:line="360" w:lineRule="auto"/>
              <w:ind w:firstLine="0"/>
              <w:rPr>
                <w:rFonts w:hint="eastAsia" w:ascii="宋体" w:hAnsi="宋体"/>
                <w:highlight w:val="none"/>
              </w:rPr>
            </w:pPr>
          </w:p>
        </w:tc>
        <w:tc>
          <w:tcPr>
            <w:tcW w:w="1260" w:type="dxa"/>
          </w:tcPr>
          <w:p w14:paraId="526921E3">
            <w:pPr>
              <w:pStyle w:val="6"/>
              <w:spacing w:line="360" w:lineRule="auto"/>
              <w:ind w:firstLine="0"/>
              <w:rPr>
                <w:rFonts w:hint="eastAsia" w:ascii="宋体" w:hAnsi="宋体"/>
                <w:highlight w:val="none"/>
              </w:rPr>
            </w:pPr>
          </w:p>
        </w:tc>
      </w:tr>
      <w:tr w14:paraId="2D43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9D2138E">
            <w:pPr>
              <w:pStyle w:val="6"/>
              <w:spacing w:line="360" w:lineRule="auto"/>
              <w:ind w:firstLine="0"/>
              <w:rPr>
                <w:rFonts w:hint="eastAsia" w:ascii="宋体" w:hAnsi="宋体"/>
                <w:highlight w:val="none"/>
              </w:rPr>
            </w:pPr>
          </w:p>
        </w:tc>
        <w:tc>
          <w:tcPr>
            <w:tcW w:w="1700" w:type="dxa"/>
          </w:tcPr>
          <w:p w14:paraId="25EF83AE">
            <w:pPr>
              <w:pStyle w:val="6"/>
              <w:spacing w:line="360" w:lineRule="auto"/>
              <w:ind w:firstLine="0"/>
              <w:rPr>
                <w:rFonts w:hint="eastAsia" w:ascii="宋体" w:hAnsi="宋体"/>
                <w:highlight w:val="none"/>
              </w:rPr>
            </w:pPr>
          </w:p>
        </w:tc>
        <w:tc>
          <w:tcPr>
            <w:tcW w:w="1320" w:type="dxa"/>
          </w:tcPr>
          <w:p w14:paraId="6DED4C54">
            <w:pPr>
              <w:pStyle w:val="6"/>
              <w:spacing w:line="360" w:lineRule="auto"/>
              <w:ind w:firstLine="0"/>
              <w:rPr>
                <w:rFonts w:hint="eastAsia" w:ascii="宋体" w:hAnsi="宋体"/>
                <w:highlight w:val="none"/>
              </w:rPr>
            </w:pPr>
          </w:p>
        </w:tc>
        <w:tc>
          <w:tcPr>
            <w:tcW w:w="900" w:type="dxa"/>
          </w:tcPr>
          <w:p w14:paraId="6A955841">
            <w:pPr>
              <w:pStyle w:val="6"/>
              <w:spacing w:line="360" w:lineRule="auto"/>
              <w:ind w:firstLine="0"/>
              <w:rPr>
                <w:rFonts w:hint="eastAsia" w:ascii="宋体" w:hAnsi="宋体"/>
                <w:highlight w:val="none"/>
              </w:rPr>
            </w:pPr>
          </w:p>
        </w:tc>
        <w:tc>
          <w:tcPr>
            <w:tcW w:w="1800" w:type="dxa"/>
          </w:tcPr>
          <w:p w14:paraId="290A90DA">
            <w:pPr>
              <w:pStyle w:val="6"/>
              <w:spacing w:line="360" w:lineRule="auto"/>
              <w:ind w:firstLine="0"/>
              <w:rPr>
                <w:rFonts w:hint="eastAsia" w:ascii="宋体" w:hAnsi="宋体"/>
                <w:highlight w:val="none"/>
              </w:rPr>
            </w:pPr>
          </w:p>
        </w:tc>
        <w:tc>
          <w:tcPr>
            <w:tcW w:w="1800" w:type="dxa"/>
          </w:tcPr>
          <w:p w14:paraId="3E121F45">
            <w:pPr>
              <w:pStyle w:val="6"/>
              <w:spacing w:line="360" w:lineRule="auto"/>
              <w:ind w:firstLine="0"/>
              <w:rPr>
                <w:rFonts w:hint="eastAsia" w:ascii="宋体" w:hAnsi="宋体"/>
                <w:highlight w:val="none"/>
              </w:rPr>
            </w:pPr>
          </w:p>
        </w:tc>
        <w:tc>
          <w:tcPr>
            <w:tcW w:w="1260" w:type="dxa"/>
          </w:tcPr>
          <w:p w14:paraId="6249C3FA">
            <w:pPr>
              <w:pStyle w:val="6"/>
              <w:spacing w:line="360" w:lineRule="auto"/>
              <w:ind w:firstLine="0"/>
              <w:rPr>
                <w:rFonts w:hint="eastAsia" w:ascii="宋体" w:hAnsi="宋体"/>
                <w:highlight w:val="none"/>
              </w:rPr>
            </w:pPr>
          </w:p>
        </w:tc>
      </w:tr>
    </w:tbl>
    <w:p w14:paraId="712F7544">
      <w:pPr>
        <w:jc w:val="center"/>
        <w:rPr>
          <w:highlight w:val="none"/>
        </w:rPr>
      </w:pPr>
    </w:p>
    <w:p w14:paraId="48B73E44">
      <w:pPr>
        <w:spacing w:line="500" w:lineRule="exact"/>
        <w:rPr>
          <w:rFonts w:hint="eastAsia" w:ascii="宋体" w:hAnsi="宋体"/>
          <w:b/>
          <w:bCs/>
          <w:sz w:val="28"/>
          <w:szCs w:val="28"/>
          <w:highlight w:val="none"/>
        </w:rPr>
      </w:pPr>
      <w:r>
        <w:rPr>
          <w:rFonts w:hint="eastAsia" w:ascii="宋体" w:hAnsi="宋体"/>
          <w:b/>
          <w:bCs/>
          <w:sz w:val="28"/>
          <w:szCs w:val="28"/>
          <w:highlight w:val="none"/>
        </w:rPr>
        <w:br w:type="page"/>
      </w:r>
      <w:r>
        <w:rPr>
          <w:rFonts w:hint="eastAsia" w:ascii="宋体" w:hAnsi="宋体"/>
          <w:b/>
          <w:bCs/>
          <w:sz w:val="28"/>
          <w:szCs w:val="28"/>
          <w:highlight w:val="none"/>
        </w:rPr>
        <w:t xml:space="preserve">附件五： </w:t>
      </w:r>
      <w:r>
        <w:rPr>
          <w:rFonts w:ascii="宋体" w:hAnsi="宋体"/>
          <w:b/>
          <w:bCs/>
          <w:sz w:val="28"/>
          <w:szCs w:val="28"/>
          <w:highlight w:val="none"/>
        </w:rPr>
        <w:t xml:space="preserve">              </w:t>
      </w:r>
    </w:p>
    <w:p w14:paraId="7B907358">
      <w:pPr>
        <w:spacing w:line="500" w:lineRule="exact"/>
        <w:jc w:val="center"/>
        <w:rPr>
          <w:rFonts w:hint="eastAsia" w:ascii="宋体" w:hAnsi="宋体"/>
          <w:b/>
          <w:sz w:val="28"/>
          <w:szCs w:val="28"/>
          <w:highlight w:val="none"/>
        </w:rPr>
      </w:pPr>
      <w:r>
        <w:rPr>
          <w:rFonts w:hint="eastAsia" w:ascii="宋体" w:hAnsi="宋体"/>
          <w:b/>
          <w:sz w:val="28"/>
          <w:szCs w:val="28"/>
          <w:highlight w:val="none"/>
        </w:rPr>
        <w:t>无 在 建 工 程 承 诺 书</w:t>
      </w:r>
    </w:p>
    <w:p w14:paraId="3151A7D9">
      <w:pPr>
        <w:pStyle w:val="5"/>
        <w:rPr>
          <w:b/>
          <w:bCs w:val="0"/>
          <w:sz w:val="24"/>
          <w:szCs w:val="24"/>
          <w:highlight w:val="none"/>
        </w:rPr>
      </w:pPr>
    </w:p>
    <w:p w14:paraId="60534E95">
      <w:pPr>
        <w:spacing w:line="480" w:lineRule="auto"/>
        <w:ind w:firstLine="512" w:firstLineChars="200"/>
        <w:rPr>
          <w:rFonts w:hint="eastAsia" w:ascii="宋体" w:hAnsi="宋体"/>
          <w:spacing w:val="8"/>
          <w:sz w:val="24"/>
          <w:szCs w:val="24"/>
          <w:highlight w:val="none"/>
        </w:rPr>
      </w:pPr>
      <w:r>
        <w:rPr>
          <w:rFonts w:hint="eastAsia" w:ascii="宋体" w:hAnsi="宋体"/>
          <w:spacing w:val="8"/>
          <w:sz w:val="24"/>
          <w:szCs w:val="24"/>
          <w:highlight w:val="none"/>
          <w:u w:val="single"/>
        </w:rPr>
        <w:t xml:space="preserve">       （招标单位名称）        </w:t>
      </w:r>
      <w:r>
        <w:rPr>
          <w:rFonts w:hint="eastAsia" w:ascii="宋体" w:hAnsi="宋体"/>
          <w:spacing w:val="8"/>
          <w:sz w:val="24"/>
          <w:szCs w:val="24"/>
          <w:highlight w:val="none"/>
        </w:rPr>
        <w:t>：</w:t>
      </w:r>
    </w:p>
    <w:p w14:paraId="242073B2">
      <w:pPr>
        <w:spacing w:line="480" w:lineRule="auto"/>
        <w:ind w:firstLine="512" w:firstLineChars="200"/>
        <w:rPr>
          <w:rFonts w:hint="eastAsia" w:ascii="宋体" w:hAnsi="宋体"/>
          <w:spacing w:val="8"/>
          <w:sz w:val="24"/>
          <w:szCs w:val="24"/>
          <w:highlight w:val="none"/>
        </w:rPr>
      </w:pPr>
      <w:r>
        <w:rPr>
          <w:rFonts w:hint="eastAsia" w:ascii="宋体" w:hAnsi="宋体"/>
          <w:spacing w:val="8"/>
          <w:sz w:val="24"/>
          <w:szCs w:val="24"/>
          <w:highlight w:val="none"/>
        </w:rPr>
        <w:t>我方参加你方的</w:t>
      </w:r>
      <w:r>
        <w:rPr>
          <w:rFonts w:hint="eastAsia" w:ascii="宋体" w:hAnsi="宋体"/>
          <w:spacing w:val="8"/>
          <w:sz w:val="24"/>
          <w:szCs w:val="24"/>
          <w:highlight w:val="none"/>
          <w:u w:val="single"/>
        </w:rPr>
        <w:t xml:space="preserve">                 </w:t>
      </w:r>
      <w:r>
        <w:rPr>
          <w:rFonts w:hint="eastAsia" w:ascii="宋体" w:hAnsi="宋体"/>
          <w:spacing w:val="8"/>
          <w:sz w:val="24"/>
          <w:szCs w:val="24"/>
          <w:highlight w:val="none"/>
        </w:rPr>
        <w:t xml:space="preserve">工程（以下简称“本工程”）施工投标的申请，拟派项目负责人为 </w:t>
      </w:r>
      <w:r>
        <w:rPr>
          <w:rFonts w:hint="eastAsia" w:ascii="宋体" w:hAnsi="宋体"/>
          <w:spacing w:val="8"/>
          <w:sz w:val="24"/>
          <w:szCs w:val="24"/>
          <w:highlight w:val="none"/>
          <w:u w:val="single"/>
        </w:rPr>
        <w:t xml:space="preserve">             </w:t>
      </w:r>
      <w:r>
        <w:rPr>
          <w:rFonts w:hint="eastAsia" w:ascii="宋体" w:hAnsi="宋体"/>
          <w:spacing w:val="8"/>
          <w:sz w:val="24"/>
          <w:szCs w:val="24"/>
          <w:highlight w:val="none"/>
        </w:rPr>
        <w:t>。现我方向你方慎重承诺：</w:t>
      </w:r>
    </w:p>
    <w:p w14:paraId="05C01EAB">
      <w:pPr>
        <w:spacing w:line="480" w:lineRule="auto"/>
        <w:ind w:firstLine="512" w:firstLineChars="200"/>
        <w:rPr>
          <w:rFonts w:hint="eastAsia" w:ascii="宋体" w:hAnsi="宋体"/>
          <w:sz w:val="24"/>
          <w:szCs w:val="24"/>
          <w:highlight w:val="none"/>
        </w:rPr>
      </w:pPr>
      <w:r>
        <w:rPr>
          <w:rFonts w:hint="eastAsia" w:ascii="宋体" w:hAnsi="宋体"/>
          <w:spacing w:val="8"/>
          <w:sz w:val="24"/>
          <w:szCs w:val="24"/>
          <w:highlight w:val="none"/>
        </w:rPr>
        <w:t xml:space="preserve">拟派项目负责人 </w:t>
      </w:r>
      <w:r>
        <w:rPr>
          <w:rFonts w:hint="eastAsia" w:ascii="宋体" w:hAnsi="宋体"/>
          <w:spacing w:val="8"/>
          <w:sz w:val="24"/>
          <w:szCs w:val="24"/>
          <w:highlight w:val="none"/>
          <w:u w:val="single"/>
        </w:rPr>
        <w:t xml:space="preserve">                </w:t>
      </w:r>
      <w:r>
        <w:rPr>
          <w:rFonts w:hint="eastAsia" w:ascii="宋体" w:hAnsi="宋体"/>
          <w:spacing w:val="8"/>
          <w:sz w:val="24"/>
          <w:szCs w:val="24"/>
          <w:highlight w:val="none"/>
        </w:rPr>
        <w:t xml:space="preserve"> 无在建工程，如果我方经本工程评标委员会评定为中标人，在公示期间被他人举报并经招标投标监管机构核实，确认拟派项目负责人有在建工程，那么取消我方中标人资格，并投标保证金不予退还。</w:t>
      </w:r>
    </w:p>
    <w:p w14:paraId="69348067">
      <w:pPr>
        <w:spacing w:line="480" w:lineRule="auto"/>
        <w:ind w:firstLine="480" w:firstLineChars="200"/>
        <w:rPr>
          <w:rFonts w:hint="eastAsia" w:ascii="宋体" w:hAnsi="宋体"/>
          <w:sz w:val="24"/>
          <w:szCs w:val="24"/>
          <w:highlight w:val="none"/>
        </w:rPr>
      </w:pPr>
    </w:p>
    <w:p w14:paraId="67D6246B">
      <w:pPr>
        <w:spacing w:line="480" w:lineRule="auto"/>
        <w:ind w:firstLine="480" w:firstLineChars="200"/>
        <w:rPr>
          <w:rFonts w:hint="eastAsia" w:ascii="宋体" w:hAnsi="宋体"/>
          <w:sz w:val="24"/>
          <w:szCs w:val="24"/>
          <w:highlight w:val="none"/>
        </w:rPr>
      </w:pPr>
    </w:p>
    <w:p w14:paraId="57264A52">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投标申请人（盖公章）：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6A6A4F69">
      <w:pPr>
        <w:tabs>
          <w:tab w:val="left" w:pos="4320"/>
        </w:tabs>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法定代表人（签字或盖章）：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7C3C7451">
      <w:pPr>
        <w:pStyle w:val="9"/>
        <w:spacing w:line="480" w:lineRule="auto"/>
        <w:ind w:left="0" w:leftChars="0" w:right="0" w:rightChars="0" w:firstLine="480"/>
        <w:rPr>
          <w:rFonts w:hint="eastAsia"/>
          <w:sz w:val="24"/>
          <w:highlight w:val="none"/>
        </w:rPr>
      </w:pPr>
      <w:r>
        <w:rPr>
          <w:rFonts w:hint="eastAsia"/>
          <w:sz w:val="24"/>
          <w:highlight w:val="none"/>
        </w:rPr>
        <w:t xml:space="preserve">                                   </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75D9124F">
      <w:pPr>
        <w:spacing w:line="360" w:lineRule="auto"/>
        <w:jc w:val="right"/>
        <w:rPr>
          <w:rFonts w:hint="eastAsia" w:ascii="宋体" w:hAnsi="宋体" w:cs="宋体"/>
          <w:sz w:val="24"/>
          <w:szCs w:val="24"/>
          <w:highlight w:val="none"/>
        </w:rPr>
      </w:pPr>
    </w:p>
    <w:p w14:paraId="48FB221B">
      <w:pPr>
        <w:spacing w:line="420" w:lineRule="exact"/>
        <w:ind w:left="1440" w:hanging="1440" w:hangingChars="600"/>
        <w:jc w:val="left"/>
        <w:rPr>
          <w:rFonts w:hint="eastAsia" w:ascii="宋体" w:hAnsi="宋体"/>
          <w:sz w:val="24"/>
          <w:szCs w:val="24"/>
          <w:highlight w:val="none"/>
        </w:rPr>
      </w:pPr>
    </w:p>
    <w:p w14:paraId="3CFC7083">
      <w:pPr>
        <w:widowControl/>
        <w:jc w:val="left"/>
        <w:rPr>
          <w:rFonts w:hint="eastAsia" w:ascii="宋体" w:hAnsi="宋体"/>
          <w:sz w:val="24"/>
          <w:szCs w:val="24"/>
          <w:highlight w:val="none"/>
        </w:rPr>
      </w:pPr>
    </w:p>
    <w:p w14:paraId="223B0713">
      <w:pPr>
        <w:widowControl/>
        <w:jc w:val="left"/>
        <w:rPr>
          <w:b/>
          <w:bCs/>
          <w:sz w:val="30"/>
          <w:szCs w:val="30"/>
          <w:highlight w:val="none"/>
        </w:rPr>
      </w:pPr>
    </w:p>
    <w:p w14:paraId="63B17619">
      <w:pPr>
        <w:pStyle w:val="2"/>
        <w:rPr>
          <w:highlight w:val="none"/>
        </w:rPr>
      </w:pPr>
    </w:p>
    <w:p w14:paraId="323557A0">
      <w:pPr>
        <w:pStyle w:val="3"/>
        <w:rPr>
          <w:highlight w:val="none"/>
        </w:rPr>
      </w:pPr>
    </w:p>
    <w:p w14:paraId="34BB6867">
      <w:pPr>
        <w:pStyle w:val="3"/>
        <w:rPr>
          <w:highlight w:val="none"/>
        </w:rPr>
      </w:pPr>
    </w:p>
    <w:p w14:paraId="0974BCF8">
      <w:pPr>
        <w:pStyle w:val="14"/>
        <w:spacing w:line="225" w:lineRule="atLeast"/>
        <w:jc w:val="both"/>
        <w:rPr>
          <w:rFonts w:hint="eastAsia"/>
          <w:b/>
          <w:bCs/>
          <w:sz w:val="30"/>
          <w:szCs w:val="30"/>
          <w:highlight w:val="none"/>
        </w:rPr>
      </w:pPr>
      <w:r>
        <w:rPr>
          <w:rFonts w:hint="eastAsia"/>
          <w:b/>
          <w:bCs/>
          <w:sz w:val="30"/>
          <w:szCs w:val="30"/>
          <w:highlight w:val="none"/>
        </w:rPr>
        <w:br w:type="page"/>
      </w:r>
      <w:r>
        <w:rPr>
          <w:rFonts w:hint="eastAsia"/>
          <w:b/>
          <w:bCs/>
          <w:sz w:val="30"/>
          <w:szCs w:val="30"/>
          <w:highlight w:val="none"/>
        </w:rPr>
        <w:t>附件六：</w:t>
      </w:r>
    </w:p>
    <w:p w14:paraId="65391899">
      <w:pPr>
        <w:pStyle w:val="14"/>
        <w:spacing w:line="400" w:lineRule="exact"/>
        <w:jc w:val="center"/>
        <w:rPr>
          <w:rFonts w:hint="eastAsia"/>
          <w:sz w:val="28"/>
          <w:szCs w:val="28"/>
          <w:highlight w:val="none"/>
        </w:rPr>
      </w:pPr>
      <w:r>
        <w:rPr>
          <w:rFonts w:hint="eastAsia"/>
          <w:b/>
          <w:bCs/>
          <w:sz w:val="28"/>
          <w:szCs w:val="28"/>
          <w:highlight w:val="none"/>
        </w:rPr>
        <w:t>投标承诺书</w:t>
      </w:r>
    </w:p>
    <w:p w14:paraId="42791E37">
      <w:pPr>
        <w:pStyle w:val="14"/>
        <w:spacing w:before="0" w:beforeAutospacing="0" w:after="0" w:afterAutospacing="0" w:line="400" w:lineRule="exact"/>
        <w:jc w:val="both"/>
        <w:rPr>
          <w:rFonts w:hint="eastAsia"/>
          <w:b/>
          <w:highlight w:val="none"/>
          <w:u w:val="single"/>
        </w:rPr>
      </w:pPr>
      <w:r>
        <w:rPr>
          <w:rFonts w:hint="eastAsia"/>
          <w:b/>
          <w:highlight w:val="none"/>
          <w:u w:val="single"/>
        </w:rPr>
        <w:t>江苏洋口港投资开发有限公司：</w:t>
      </w:r>
    </w:p>
    <w:p w14:paraId="300FB11A">
      <w:pPr>
        <w:pStyle w:val="14"/>
        <w:spacing w:before="0" w:beforeAutospacing="0" w:after="0" w:afterAutospacing="0" w:line="400" w:lineRule="exact"/>
        <w:ind w:firstLine="360" w:firstLineChars="150"/>
        <w:rPr>
          <w:rFonts w:hint="eastAsia"/>
          <w:highlight w:val="none"/>
        </w:rPr>
      </w:pPr>
      <w:r>
        <w:rPr>
          <w:rFonts w:hint="eastAsia"/>
          <w:highlight w:val="none"/>
        </w:rPr>
        <w:t xml:space="preserve"> 1.</w:t>
      </w:r>
      <w:r>
        <w:rPr>
          <w:rFonts w:hint="eastAsia"/>
          <w:color w:val="000000"/>
          <w:highlight w:val="none"/>
        </w:rPr>
        <w:t>根据已收到的</w:t>
      </w:r>
      <w:r>
        <w:rPr>
          <w:rFonts w:hint="eastAsia"/>
          <w:b/>
          <w:bCs/>
          <w:color w:val="000000"/>
          <w:highlight w:val="none"/>
          <w:u w:val="single"/>
        </w:rPr>
        <w:t xml:space="preserve">如东洋口港经济开发区建筑新材料产业园标准厂房一期南侧临时用房拆除处置项目  </w:t>
      </w:r>
      <w:r>
        <w:rPr>
          <w:rFonts w:hint="eastAsia"/>
          <w:color w:val="000000"/>
          <w:highlight w:val="none"/>
        </w:rPr>
        <w:t>的招标文件，我单位将遵照《中华人民共和国招标投标法》等有关规定并根据招标文件的规定，经考察现场和研究招标文件后，愿按招标文件的要求承包本次招标范围内的全部内容。</w:t>
      </w:r>
    </w:p>
    <w:p w14:paraId="010C281A">
      <w:pPr>
        <w:pStyle w:val="14"/>
        <w:spacing w:before="0" w:beforeAutospacing="0" w:after="0" w:afterAutospacing="0" w:line="400" w:lineRule="exact"/>
        <w:ind w:firstLine="360" w:firstLineChars="150"/>
        <w:rPr>
          <w:rFonts w:hint="eastAsia"/>
          <w:highlight w:val="none"/>
        </w:rPr>
      </w:pPr>
      <w:r>
        <w:rPr>
          <w:rFonts w:hint="eastAsia"/>
          <w:highlight w:val="none"/>
        </w:rPr>
        <w:t>2. 如我方中标，我方保证在招标文件规定的期限内按照招标文件及合同要求的服务内容及服务标准，保质保量的完成本项目服务内容。</w:t>
      </w:r>
    </w:p>
    <w:p w14:paraId="2BBC9BD1">
      <w:pPr>
        <w:spacing w:line="400" w:lineRule="exact"/>
        <w:ind w:firstLine="364" w:firstLineChars="152"/>
        <w:rPr>
          <w:rFonts w:hint="eastAsia" w:ascii="宋体" w:hAnsi="宋体" w:cs="宋体"/>
          <w:sz w:val="24"/>
          <w:szCs w:val="24"/>
          <w:highlight w:val="none"/>
        </w:rPr>
      </w:pPr>
      <w:r>
        <w:rPr>
          <w:rFonts w:hint="eastAsia" w:ascii="宋体" w:hAnsi="宋体" w:cs="宋体"/>
          <w:sz w:val="24"/>
          <w:szCs w:val="24"/>
          <w:highlight w:val="none"/>
        </w:rPr>
        <w:t>3. 我方已详细审核全部招标文件，包括修改文件、答疑（如有时）及有关附件，我方完全响应并认可上述文件的所有条款。</w:t>
      </w:r>
    </w:p>
    <w:p w14:paraId="46451437">
      <w:pPr>
        <w:pStyle w:val="14"/>
        <w:spacing w:before="0" w:beforeAutospacing="0" w:after="0" w:afterAutospacing="0" w:line="400" w:lineRule="exact"/>
        <w:ind w:firstLine="360" w:firstLineChars="150"/>
        <w:rPr>
          <w:rFonts w:hint="eastAsia"/>
          <w:highlight w:val="none"/>
        </w:rPr>
      </w:pPr>
      <w:r>
        <w:rPr>
          <w:rFonts w:hint="eastAsia"/>
          <w:highlight w:val="none"/>
        </w:rPr>
        <w:t>4. 我方承认投标函附件是我方投标函的组成部分。</w:t>
      </w:r>
    </w:p>
    <w:p w14:paraId="7420B217">
      <w:pPr>
        <w:pStyle w:val="14"/>
        <w:spacing w:before="0" w:beforeAutospacing="0" w:after="0" w:afterAutospacing="0" w:line="400" w:lineRule="exact"/>
        <w:ind w:firstLine="360" w:firstLineChars="150"/>
        <w:rPr>
          <w:rFonts w:hint="eastAsia"/>
          <w:highlight w:val="none"/>
        </w:rPr>
      </w:pPr>
      <w:r>
        <w:rPr>
          <w:rFonts w:hint="eastAsia"/>
          <w:highlight w:val="none"/>
        </w:rPr>
        <w:t>5. 一旦我方中标，我方保证在你方招标文件中规定的服务期限及服务时限内完成工作，质量：</w:t>
      </w:r>
      <w:r>
        <w:rPr>
          <w:rFonts w:hint="eastAsia"/>
          <w:highlight w:val="none"/>
          <w:u w:val="single"/>
        </w:rPr>
        <w:t>合格。</w:t>
      </w:r>
    </w:p>
    <w:p w14:paraId="498A32B7">
      <w:pPr>
        <w:pStyle w:val="14"/>
        <w:spacing w:before="0" w:beforeAutospacing="0" w:after="0" w:afterAutospacing="0" w:line="400" w:lineRule="exact"/>
        <w:ind w:firstLine="360" w:firstLineChars="150"/>
        <w:rPr>
          <w:rFonts w:hint="eastAsia"/>
          <w:highlight w:val="none"/>
        </w:rPr>
      </w:pPr>
      <w:r>
        <w:rPr>
          <w:rFonts w:hint="eastAsia"/>
          <w:highlight w:val="none"/>
        </w:rPr>
        <w:t>6. 中标后在签订合同前，我方愿缴纳中标价的</w:t>
      </w:r>
      <w:r>
        <w:rPr>
          <w:rFonts w:hint="eastAsia"/>
          <w:b/>
          <w:bCs/>
          <w:highlight w:val="none"/>
          <w:u w:val="single"/>
        </w:rPr>
        <w:t>1</w:t>
      </w:r>
      <w:r>
        <w:rPr>
          <w:b/>
          <w:bCs/>
          <w:highlight w:val="none"/>
          <w:u w:val="single"/>
        </w:rPr>
        <w:t>0</w:t>
      </w:r>
      <w:r>
        <w:rPr>
          <w:rFonts w:hint="eastAsia"/>
          <w:b/>
          <w:bCs/>
          <w:highlight w:val="none"/>
          <w:u w:val="single"/>
        </w:rPr>
        <w:t>%</w:t>
      </w:r>
      <w:r>
        <w:rPr>
          <w:rFonts w:hint="eastAsia"/>
          <w:highlight w:val="none"/>
        </w:rPr>
        <w:t>作为履约保证金押存在招标人处。</w:t>
      </w:r>
    </w:p>
    <w:p w14:paraId="02D7F3DE">
      <w:pPr>
        <w:pStyle w:val="14"/>
        <w:spacing w:before="0" w:beforeAutospacing="0" w:after="0" w:afterAutospacing="0" w:line="400" w:lineRule="exact"/>
        <w:ind w:firstLine="360" w:firstLineChars="150"/>
        <w:rPr>
          <w:rFonts w:hint="eastAsia"/>
          <w:highlight w:val="none"/>
        </w:rPr>
      </w:pPr>
      <w:r>
        <w:rPr>
          <w:rFonts w:hint="eastAsia"/>
          <w:highlight w:val="none"/>
        </w:rPr>
        <w:t>7. 我方同意所提交的投标文件在“招标文件投标须知”中规定的投标有效期内有效，在此期间内如果中标，我方将受此约束。</w:t>
      </w:r>
    </w:p>
    <w:p w14:paraId="73E24438">
      <w:pPr>
        <w:pStyle w:val="14"/>
        <w:spacing w:before="0" w:beforeAutospacing="0" w:after="0" w:afterAutospacing="0" w:line="400" w:lineRule="exact"/>
        <w:ind w:firstLine="360" w:firstLineChars="150"/>
        <w:rPr>
          <w:rFonts w:hint="eastAsia"/>
          <w:highlight w:val="none"/>
        </w:rPr>
      </w:pPr>
      <w:r>
        <w:rPr>
          <w:rFonts w:hint="eastAsia"/>
          <w:highlight w:val="none"/>
        </w:rPr>
        <w:t xml:space="preserve"> 8. 除非另外达成协议生效，你方的中标通知书和本投标文件将成为约束双方的合同文件的组成部分。</w:t>
      </w:r>
    </w:p>
    <w:p w14:paraId="2E83250A">
      <w:pPr>
        <w:pStyle w:val="14"/>
        <w:spacing w:before="0" w:beforeAutospacing="0" w:after="0" w:afterAutospacing="0" w:line="400" w:lineRule="exact"/>
        <w:ind w:firstLine="480" w:firstLineChars="200"/>
        <w:rPr>
          <w:rFonts w:hint="eastAsia"/>
          <w:highlight w:val="none"/>
        </w:rPr>
      </w:pPr>
      <w:r>
        <w:rPr>
          <w:rFonts w:hint="eastAsia"/>
          <w:highlight w:val="none"/>
        </w:rPr>
        <w:t>9. 我方按照招标文件的要求，提供的所有投标资料都是真实的，如我方提供的资料不真实，我方将放弃中标的权利，并承担由此产生的责任。</w:t>
      </w:r>
    </w:p>
    <w:p w14:paraId="622CBCD4">
      <w:pPr>
        <w:pStyle w:val="14"/>
        <w:spacing w:before="0" w:beforeAutospacing="0" w:after="0" w:afterAutospacing="0" w:line="400" w:lineRule="exact"/>
        <w:ind w:firstLine="360" w:firstLineChars="150"/>
        <w:rPr>
          <w:rFonts w:hint="eastAsia"/>
          <w:highlight w:val="none"/>
        </w:rPr>
      </w:pPr>
      <w:r>
        <w:rPr>
          <w:rFonts w:hint="eastAsia"/>
          <w:highlight w:val="none"/>
        </w:rPr>
        <w:t>10. 我方在实施本项目时做到安全第一、服务质量第一。如涉及到安全或质量问题由我方负责。</w:t>
      </w:r>
    </w:p>
    <w:p w14:paraId="4ED0702E">
      <w:pPr>
        <w:spacing w:line="400" w:lineRule="exact"/>
        <w:jc w:val="left"/>
        <w:rPr>
          <w:rFonts w:hint="eastAsia" w:ascii="宋体" w:hAnsi="宋体" w:cs="宋体"/>
          <w:sz w:val="24"/>
          <w:szCs w:val="24"/>
          <w:highlight w:val="none"/>
          <w:u w:val="single"/>
        </w:rPr>
      </w:pPr>
      <w:r>
        <w:rPr>
          <w:rFonts w:hint="eastAsia" w:ascii="宋体" w:hAnsi="宋体" w:cs="宋体"/>
          <w:sz w:val="24"/>
          <w:szCs w:val="24"/>
          <w:highlight w:val="none"/>
        </w:rPr>
        <w:t>投标人：</w:t>
      </w:r>
      <w:r>
        <w:rPr>
          <w:rFonts w:hint="eastAsia" w:ascii="宋体" w:hAnsi="宋体" w:cs="宋体"/>
          <w:sz w:val="24"/>
          <w:szCs w:val="24"/>
          <w:highlight w:val="none"/>
          <w:u w:val="single"/>
        </w:rPr>
        <w:t xml:space="preserve">　　　　  　（盖章）                   </w:t>
      </w:r>
    </w:p>
    <w:p w14:paraId="2CD58C15">
      <w:pPr>
        <w:spacing w:line="400" w:lineRule="exact"/>
        <w:jc w:val="left"/>
        <w:rPr>
          <w:rFonts w:hint="eastAsia" w:ascii="宋体" w:hAnsi="宋体" w:cs="宋体"/>
          <w:sz w:val="24"/>
          <w:szCs w:val="24"/>
          <w:highlight w:val="none"/>
          <w:u w:val="single"/>
        </w:rPr>
      </w:pPr>
      <w:r>
        <w:rPr>
          <w:rFonts w:hint="eastAsia" w:ascii="宋体" w:hAnsi="宋体" w:cs="宋体"/>
          <w:sz w:val="24"/>
          <w:szCs w:val="24"/>
          <w:highlight w:val="none"/>
        </w:rPr>
        <w:t>单位地址：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w:t>
      </w:r>
      <w:r>
        <w:rPr>
          <w:rFonts w:hint="eastAsia" w:ascii="宋体" w:hAnsi="宋体" w:cs="宋体"/>
          <w:sz w:val="24"/>
          <w:szCs w:val="24"/>
          <w:highlight w:val="none"/>
        </w:rPr>
        <w:br w:type="textWrapping"/>
      </w: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（签字或盖章）            </w:t>
      </w:r>
    </w:p>
    <w:p w14:paraId="4CB6831D">
      <w:pPr>
        <w:spacing w:line="400" w:lineRule="exact"/>
        <w:ind w:left="1440" w:hanging="1440" w:hangingChars="600"/>
        <w:jc w:val="left"/>
        <w:rPr>
          <w:rFonts w:hint="eastAsia"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w:t>
      </w:r>
      <w:r>
        <w:rPr>
          <w:rFonts w:hint="eastAsia" w:ascii="宋体" w:hAnsi="宋体" w:cs="宋体"/>
          <w:sz w:val="24"/>
          <w:szCs w:val="24"/>
          <w:highlight w:val="none"/>
        </w:rPr>
        <w:t>电话：</w:t>
      </w:r>
      <w:r>
        <w:rPr>
          <w:rFonts w:hint="eastAsia" w:ascii="宋体" w:hAnsi="宋体" w:cs="宋体"/>
          <w:sz w:val="24"/>
          <w:szCs w:val="24"/>
          <w:highlight w:val="none"/>
          <w:u w:val="single"/>
        </w:rPr>
        <w:t>　    　　</w:t>
      </w: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w:t>
      </w:r>
    </w:p>
    <w:p w14:paraId="0B14BF8B">
      <w:pPr>
        <w:spacing w:line="400" w:lineRule="exact"/>
        <w:ind w:left="1440" w:hanging="1440" w:hangingChars="600"/>
        <w:jc w:val="left"/>
        <w:rPr>
          <w:rFonts w:hint="eastAsia" w:ascii="宋体" w:hAnsi="宋体" w:cs="宋体"/>
          <w:sz w:val="24"/>
          <w:szCs w:val="24"/>
          <w:highlight w:val="none"/>
        </w:rPr>
      </w:pPr>
    </w:p>
    <w:p w14:paraId="3DD71571">
      <w:pPr>
        <w:spacing w:line="400" w:lineRule="exact"/>
        <w:ind w:left="1793" w:leftChars="854" w:firstLine="1560" w:firstLineChars="650"/>
        <w:rPr>
          <w:rFonts w:hint="eastAsia" w:ascii="宋体" w:hAnsi="宋体" w:cs="宋体"/>
          <w:sz w:val="24"/>
          <w:szCs w:val="24"/>
          <w:highlight w:val="none"/>
        </w:rPr>
      </w:pPr>
      <w:r>
        <w:rPr>
          <w:rFonts w:hint="eastAsia" w:ascii="宋体" w:hAnsi="宋体" w:cs="宋体"/>
          <w:sz w:val="24"/>
          <w:szCs w:val="24"/>
          <w:highlight w:val="none"/>
        </w:rPr>
        <w:t>日期：　　 　年　　  月　   日</w:t>
      </w:r>
    </w:p>
    <w:p w14:paraId="0ECBD3FE">
      <w:pPr>
        <w:pStyle w:val="14"/>
        <w:spacing w:line="400" w:lineRule="exact"/>
        <w:jc w:val="center"/>
        <w:rPr>
          <w:rFonts w:hint="eastAsia"/>
          <w:b/>
          <w:bCs/>
          <w:sz w:val="28"/>
          <w:szCs w:val="28"/>
          <w:highlight w:val="none"/>
        </w:rPr>
      </w:pPr>
      <w:r>
        <w:rPr>
          <w:rFonts w:hint="eastAsia"/>
          <w:b/>
          <w:bCs/>
          <w:highlight w:val="none"/>
        </w:rPr>
        <w:br w:type="page"/>
      </w:r>
      <w:r>
        <w:rPr>
          <w:rFonts w:hint="eastAsia"/>
          <w:b/>
          <w:bCs/>
          <w:sz w:val="28"/>
          <w:szCs w:val="28"/>
          <w:highlight w:val="none"/>
        </w:rPr>
        <w:t>投标人诚信承诺书</w:t>
      </w:r>
    </w:p>
    <w:p w14:paraId="658FA322">
      <w:pPr>
        <w:spacing w:line="400" w:lineRule="exact"/>
        <w:rPr>
          <w:rFonts w:hint="eastAsia" w:ascii="宋体" w:hAnsi="宋体" w:cs="宋体"/>
          <w:bCs/>
          <w:sz w:val="24"/>
          <w:szCs w:val="24"/>
          <w:highlight w:val="none"/>
        </w:rPr>
      </w:pPr>
      <w:r>
        <w:rPr>
          <w:rFonts w:hint="eastAsia" w:ascii="宋体" w:hAnsi="宋体" w:cs="宋体"/>
          <w:bCs/>
          <w:sz w:val="24"/>
          <w:szCs w:val="24"/>
          <w:highlight w:val="none"/>
        </w:rPr>
        <w:t>致</w:t>
      </w:r>
      <w:r>
        <w:rPr>
          <w:rFonts w:hint="eastAsia" w:ascii="宋体" w:hAnsi="宋体" w:cs="宋体"/>
          <w:bCs/>
          <w:sz w:val="24"/>
          <w:szCs w:val="24"/>
          <w:highlight w:val="none"/>
          <w:u w:val="single"/>
        </w:rPr>
        <w:t xml:space="preserve"> 江苏洋口港投资开发有限公司 </w:t>
      </w:r>
      <w:r>
        <w:rPr>
          <w:rFonts w:hint="eastAsia" w:ascii="宋体" w:hAnsi="宋体" w:cs="宋体"/>
          <w:bCs/>
          <w:sz w:val="24"/>
          <w:szCs w:val="24"/>
          <w:highlight w:val="none"/>
        </w:rPr>
        <w:t>（招标人）：</w:t>
      </w:r>
    </w:p>
    <w:p w14:paraId="08AAB858">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我单位在参加贵单位组织的</w:t>
      </w:r>
      <w:r>
        <w:rPr>
          <w:rFonts w:hint="eastAsia" w:ascii="宋体" w:hAnsi="宋体" w:cs="宋体"/>
          <w:bCs/>
          <w:sz w:val="24"/>
          <w:szCs w:val="24"/>
          <w:highlight w:val="none"/>
          <w:u w:val="single"/>
        </w:rPr>
        <w:t>如东洋口港经济开发区建筑新材料产业园标准厂房一期南侧临时用房拆除处置项目</w:t>
      </w:r>
      <w:r>
        <w:rPr>
          <w:rFonts w:hint="eastAsia" w:ascii="宋体" w:hAnsi="宋体" w:cs="宋体"/>
          <w:bCs/>
          <w:sz w:val="24"/>
          <w:szCs w:val="24"/>
          <w:highlight w:val="none"/>
        </w:rPr>
        <w:t>的招投标活动中，郑重承诺如下：</w:t>
      </w:r>
    </w:p>
    <w:p w14:paraId="34717BB9">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 我方申报的所有资料都是真实、准确、完整的;</w:t>
      </w:r>
    </w:p>
    <w:p w14:paraId="550AFE21">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 我方无资质挂靠或参与串标、围标、及抬标情形;</w:t>
      </w:r>
    </w:p>
    <w:p w14:paraId="3F09102A">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 我方没有被各级行政主管部门做出停止市场行为的处罚;</w:t>
      </w:r>
    </w:p>
    <w:p w14:paraId="1876D3D2">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 若我方中标，将严格按照规定及时与招标单位签订合同;</w:t>
      </w:r>
    </w:p>
    <w:p w14:paraId="1D98FC69">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5、 若我方中标，将严格按照投标文件所承诺的报价、质量、供货期等内容组织实施;</w:t>
      </w:r>
    </w:p>
    <w:p w14:paraId="453866AA">
      <w:pPr>
        <w:spacing w:line="4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4DF7F284">
      <w:pPr>
        <w:spacing w:line="400" w:lineRule="exact"/>
        <w:rPr>
          <w:rFonts w:hint="eastAsia" w:ascii="宋体" w:hAnsi="宋体" w:cs="宋体"/>
          <w:bCs/>
          <w:sz w:val="24"/>
          <w:szCs w:val="24"/>
          <w:highlight w:val="none"/>
        </w:rPr>
      </w:pPr>
    </w:p>
    <w:p w14:paraId="19CAE2FA">
      <w:pPr>
        <w:spacing w:line="400" w:lineRule="exact"/>
        <w:rPr>
          <w:rFonts w:hint="eastAsia" w:ascii="宋体" w:hAnsi="宋体" w:cs="宋体"/>
          <w:bCs/>
          <w:sz w:val="24"/>
          <w:szCs w:val="24"/>
          <w:highlight w:val="none"/>
        </w:rPr>
      </w:pPr>
      <w:r>
        <w:rPr>
          <w:rFonts w:hint="eastAsia" w:ascii="宋体" w:hAnsi="宋体" w:cs="宋体"/>
          <w:bCs/>
          <w:sz w:val="24"/>
          <w:szCs w:val="24"/>
          <w:highlight w:val="none"/>
        </w:rPr>
        <w:t>投标人(盖公章)：</w:t>
      </w:r>
      <w:r>
        <w:rPr>
          <w:rFonts w:hint="eastAsia" w:ascii="宋体" w:hAnsi="宋体" w:cs="宋体"/>
          <w:bCs/>
          <w:sz w:val="24"/>
          <w:szCs w:val="24"/>
          <w:highlight w:val="none"/>
          <w:u w:val="single"/>
        </w:rPr>
        <w:t xml:space="preserve">                              </w:t>
      </w:r>
    </w:p>
    <w:p w14:paraId="435C81DF">
      <w:pPr>
        <w:spacing w:line="400" w:lineRule="exact"/>
        <w:rPr>
          <w:rFonts w:hint="eastAsia" w:ascii="宋体" w:hAnsi="宋体" w:cs="宋体"/>
          <w:bCs/>
          <w:sz w:val="24"/>
          <w:szCs w:val="24"/>
          <w:highlight w:val="none"/>
        </w:rPr>
      </w:pPr>
    </w:p>
    <w:p w14:paraId="08C35A17">
      <w:pPr>
        <w:spacing w:line="400" w:lineRule="exact"/>
        <w:rPr>
          <w:rStyle w:val="18"/>
          <w:rFonts w:hint="eastAsia" w:ascii="宋体" w:hAnsi="宋体" w:cs="宋体"/>
          <w:b w:val="0"/>
          <w:sz w:val="24"/>
          <w:szCs w:val="24"/>
          <w:highlight w:val="none"/>
        </w:rPr>
      </w:pPr>
      <w:r>
        <w:rPr>
          <w:rFonts w:hint="eastAsia" w:ascii="宋体" w:hAnsi="宋体" w:cs="宋体"/>
          <w:bCs/>
          <w:sz w:val="24"/>
          <w:szCs w:val="24"/>
          <w:highlight w:val="none"/>
        </w:rPr>
        <w:t>法定代表人(签字或盖章)：</w:t>
      </w:r>
      <w:r>
        <w:rPr>
          <w:rFonts w:hint="eastAsia" w:ascii="宋体" w:hAnsi="宋体" w:cs="宋体"/>
          <w:bCs/>
          <w:sz w:val="24"/>
          <w:szCs w:val="24"/>
          <w:highlight w:val="none"/>
          <w:u w:val="single"/>
        </w:rPr>
        <w:t xml:space="preserve">                      </w:t>
      </w:r>
    </w:p>
    <w:p w14:paraId="6F5695D2">
      <w:pPr>
        <w:spacing w:line="400" w:lineRule="exact"/>
        <w:jc w:val="right"/>
        <w:rPr>
          <w:rFonts w:hint="eastAsia" w:ascii="宋体" w:hAnsi="宋体" w:cs="宋体"/>
          <w:sz w:val="24"/>
          <w:szCs w:val="24"/>
          <w:highlight w:val="none"/>
        </w:rPr>
      </w:pPr>
    </w:p>
    <w:p w14:paraId="10265218">
      <w:pPr>
        <w:spacing w:line="400" w:lineRule="exact"/>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4415E2B3">
      <w:pPr>
        <w:pStyle w:val="6"/>
        <w:spacing w:line="360" w:lineRule="auto"/>
        <w:jc w:val="center"/>
        <w:rPr>
          <w:rFonts w:hint="eastAsia" w:ascii="宋体" w:hAnsi="宋体" w:cs="宋体"/>
          <w:sz w:val="30"/>
          <w:szCs w:val="30"/>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公共资源交易投标信用承诺书</w:t>
      </w:r>
    </w:p>
    <w:p w14:paraId="1F0A9526">
      <w:pPr>
        <w:pStyle w:val="25"/>
        <w:spacing w:before="0"/>
        <w:rPr>
          <w:rFonts w:hint="eastAsia" w:ascii="宋体" w:hAnsi="宋体" w:cs="宋体"/>
          <w:szCs w:val="21"/>
          <w:highlight w:val="none"/>
        </w:rPr>
      </w:pPr>
      <w:r>
        <w:rPr>
          <w:rFonts w:hint="eastAsia" w:ascii="宋体" w:hAnsi="宋体" w:cs="宋体"/>
          <w:szCs w:val="21"/>
          <w:highlight w:val="none"/>
        </w:rPr>
        <w:t>为营造公开、公平、公正的公共资源交易环境，树立诚信守法的投标人形象，本人代表本单位作出以下承诺：</w:t>
      </w:r>
    </w:p>
    <w:p w14:paraId="5409ABBB">
      <w:pPr>
        <w:pStyle w:val="25"/>
        <w:rPr>
          <w:rFonts w:hint="eastAsia" w:ascii="宋体" w:hAnsi="宋体" w:cs="宋体"/>
          <w:szCs w:val="21"/>
          <w:highlight w:val="none"/>
        </w:rPr>
      </w:pPr>
      <w:r>
        <w:rPr>
          <w:rFonts w:hint="eastAsia" w:ascii="宋体" w:hAnsi="宋体" w:cs="宋体"/>
          <w:szCs w:val="21"/>
          <w:highlight w:val="none"/>
        </w:rPr>
        <w:t>一、本单位对所提交的单位基本信息、单位负责人、项目负责人、技术负责人、从业资质和资格、业绩、财务状况、信誉等所有资料，均合法、真实、准确、有效，无任何伪造、修改、虚假成分；</w:t>
      </w:r>
    </w:p>
    <w:p w14:paraId="0285E6B2">
      <w:pPr>
        <w:pStyle w:val="25"/>
        <w:rPr>
          <w:rFonts w:hint="eastAsia" w:ascii="宋体" w:hAnsi="宋体" w:cs="宋体"/>
          <w:szCs w:val="21"/>
          <w:highlight w:val="none"/>
        </w:rPr>
      </w:pPr>
      <w:r>
        <w:rPr>
          <w:rFonts w:hint="eastAsia" w:ascii="宋体" w:hAnsi="宋体" w:cs="宋体"/>
          <w:szCs w:val="21"/>
          <w:highlight w:val="none"/>
        </w:rPr>
        <w:t>二、严格依照国家和省、市、县关于招标投标等方面的法律、法规、规章、规范性文件，参加公共资源交易招标投标活动；积极履行社会责任，促进廉政建设；</w:t>
      </w:r>
    </w:p>
    <w:p w14:paraId="27FBF1EE">
      <w:pPr>
        <w:pStyle w:val="25"/>
        <w:rPr>
          <w:rFonts w:hint="eastAsia" w:ascii="宋体" w:hAnsi="宋体" w:cs="宋体"/>
          <w:szCs w:val="21"/>
          <w:highlight w:val="none"/>
        </w:rPr>
      </w:pPr>
      <w:r>
        <w:rPr>
          <w:rFonts w:hint="eastAsia" w:ascii="宋体" w:hAnsi="宋体" w:cs="宋体"/>
          <w:szCs w:val="21"/>
          <w:highlight w:val="none"/>
        </w:rPr>
        <w:t>三、严格遵守即时信息公示规定，及时更新公共资源交易中心主体信息库中信息；</w:t>
      </w:r>
    </w:p>
    <w:p w14:paraId="3ADE1E89">
      <w:pPr>
        <w:pStyle w:val="25"/>
        <w:rPr>
          <w:rFonts w:hint="eastAsia" w:ascii="宋体" w:hAnsi="宋体" w:cs="宋体"/>
          <w:szCs w:val="21"/>
          <w:highlight w:val="none"/>
        </w:rPr>
      </w:pPr>
      <w:r>
        <w:rPr>
          <w:rFonts w:hint="eastAsia" w:ascii="宋体" w:hAnsi="宋体" w:cs="宋体"/>
          <w:szCs w:val="21"/>
          <w:highlight w:val="none"/>
        </w:rPr>
        <w:t>四、自我约束、自我管理，守合同、重信用，不参与围标串标、弄虚作假、骗取中标、干扰评标、违约毁约、恶意投诉等行为，主动维护公共资源交易招标投标的良好秩序；</w:t>
      </w:r>
    </w:p>
    <w:p w14:paraId="5B9AA09B">
      <w:pPr>
        <w:pStyle w:val="25"/>
        <w:rPr>
          <w:rFonts w:hint="eastAsia" w:ascii="宋体" w:hAnsi="宋体" w:cs="宋体"/>
          <w:szCs w:val="21"/>
          <w:highlight w:val="none"/>
        </w:rPr>
      </w:pPr>
      <w:r>
        <w:rPr>
          <w:rFonts w:hint="eastAsia" w:ascii="宋体" w:hAnsi="宋体" w:cs="宋体"/>
          <w:szCs w:val="21"/>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23AB998">
      <w:pPr>
        <w:pStyle w:val="25"/>
        <w:rPr>
          <w:rFonts w:hint="eastAsia" w:ascii="宋体" w:hAnsi="宋体" w:cs="宋体"/>
          <w:szCs w:val="21"/>
          <w:highlight w:val="none"/>
        </w:rPr>
      </w:pPr>
      <w:r>
        <w:rPr>
          <w:rFonts w:hint="eastAsia" w:ascii="宋体" w:hAnsi="宋体" w:cs="宋体"/>
          <w:szCs w:val="21"/>
          <w:highlight w:val="none"/>
        </w:rPr>
        <w:t>六、自觉接受政府部门、行业组织、社会公众、新闻舆论等监督；</w:t>
      </w:r>
    </w:p>
    <w:p w14:paraId="7215AFB8">
      <w:pPr>
        <w:pStyle w:val="25"/>
        <w:rPr>
          <w:rFonts w:hint="eastAsia" w:ascii="宋体" w:hAnsi="宋体" w:cs="宋体"/>
          <w:szCs w:val="21"/>
          <w:highlight w:val="none"/>
        </w:rPr>
      </w:pPr>
      <w:r>
        <w:rPr>
          <w:rFonts w:hint="eastAsia" w:ascii="宋体" w:hAnsi="宋体" w:cs="宋体"/>
          <w:szCs w:val="21"/>
          <w:highlight w:val="none"/>
        </w:rPr>
        <w:t>七、上述承诺已向本单位员工作了宣传教育；</w:t>
      </w:r>
    </w:p>
    <w:p w14:paraId="0C2AB38A">
      <w:pPr>
        <w:pStyle w:val="25"/>
        <w:rPr>
          <w:rFonts w:hint="eastAsia" w:ascii="宋体" w:hAnsi="宋体" w:cs="宋体"/>
          <w:szCs w:val="21"/>
          <w:highlight w:val="none"/>
        </w:rPr>
      </w:pPr>
      <w:r>
        <w:rPr>
          <w:rFonts w:hint="eastAsia" w:ascii="宋体" w:hAnsi="宋体" w:cs="宋体"/>
          <w:szCs w:val="21"/>
          <w:highlight w:val="none"/>
        </w:rPr>
        <w:t>本单位同意将以上承诺事项上网公示。</w:t>
      </w:r>
    </w:p>
    <w:p w14:paraId="4DF98802">
      <w:pPr>
        <w:pStyle w:val="25"/>
        <w:rPr>
          <w:rFonts w:hint="eastAsia" w:ascii="宋体" w:hAnsi="宋体" w:cs="宋体"/>
          <w:szCs w:val="21"/>
          <w:highlight w:val="none"/>
        </w:rPr>
      </w:pPr>
    </w:p>
    <w:p w14:paraId="1515E53E">
      <w:pPr>
        <w:pStyle w:val="25"/>
        <w:rPr>
          <w:rFonts w:hint="eastAsia" w:ascii="宋体" w:hAnsi="宋体" w:cs="宋体"/>
          <w:szCs w:val="21"/>
          <w:highlight w:val="none"/>
        </w:rPr>
      </w:pPr>
      <w:r>
        <w:rPr>
          <w:rFonts w:hint="eastAsia" w:ascii="宋体" w:hAnsi="宋体" w:cs="宋体"/>
          <w:szCs w:val="21"/>
          <w:highlight w:val="none"/>
        </w:rPr>
        <w:t>企业名称（盖章）                     法定代表人(签字或盖章)：</w:t>
      </w:r>
    </w:p>
    <w:p w14:paraId="73BC4149">
      <w:pPr>
        <w:pStyle w:val="25"/>
        <w:rPr>
          <w:rFonts w:hint="eastAsia" w:ascii="宋体" w:hAnsi="宋体" w:cs="宋体"/>
          <w:szCs w:val="21"/>
          <w:highlight w:val="none"/>
        </w:rPr>
      </w:pPr>
      <w:r>
        <w:rPr>
          <w:rFonts w:hint="eastAsia" w:ascii="宋体" w:hAnsi="宋体" w:cs="宋体"/>
          <w:szCs w:val="21"/>
          <w:highlight w:val="none"/>
        </w:rPr>
        <w:t>                      时间：   年   月   日</w:t>
      </w:r>
    </w:p>
    <w:p w14:paraId="74737065">
      <w:pPr>
        <w:pStyle w:val="14"/>
        <w:spacing w:line="225" w:lineRule="atLeast"/>
        <w:jc w:val="both"/>
        <w:rPr>
          <w:rFonts w:hint="eastAsia"/>
          <w:b/>
          <w:bCs/>
          <w:sz w:val="30"/>
          <w:szCs w:val="30"/>
          <w:highlight w:val="none"/>
        </w:rPr>
      </w:pPr>
    </w:p>
    <w:p w14:paraId="0360D75C">
      <w:pPr>
        <w:pStyle w:val="14"/>
        <w:spacing w:line="225" w:lineRule="atLeast"/>
        <w:jc w:val="both"/>
        <w:rPr>
          <w:rFonts w:hint="eastAsia"/>
          <w:b/>
          <w:bCs/>
          <w:sz w:val="30"/>
          <w:szCs w:val="30"/>
          <w:highlight w:val="none"/>
        </w:rPr>
      </w:pPr>
    </w:p>
    <w:p w14:paraId="65F25B6D">
      <w:pPr>
        <w:pStyle w:val="14"/>
        <w:spacing w:line="225" w:lineRule="atLeast"/>
        <w:jc w:val="both"/>
        <w:rPr>
          <w:rFonts w:hint="eastAsia"/>
          <w:b/>
          <w:bCs/>
          <w:sz w:val="30"/>
          <w:szCs w:val="30"/>
          <w:highlight w:val="none"/>
        </w:rPr>
      </w:pPr>
      <w:r>
        <w:rPr>
          <w:rFonts w:hint="eastAsia"/>
          <w:b/>
          <w:bCs/>
          <w:sz w:val="30"/>
          <w:szCs w:val="30"/>
          <w:highlight w:val="none"/>
        </w:rPr>
        <w:br w:type="page"/>
      </w:r>
      <w:r>
        <w:rPr>
          <w:rFonts w:hint="eastAsia"/>
          <w:b/>
          <w:bCs/>
          <w:sz w:val="30"/>
          <w:szCs w:val="30"/>
          <w:highlight w:val="none"/>
        </w:rPr>
        <w:t>附件七：</w:t>
      </w:r>
    </w:p>
    <w:p w14:paraId="579C3BEC">
      <w:pPr>
        <w:pStyle w:val="14"/>
        <w:spacing w:line="225" w:lineRule="atLeast"/>
        <w:jc w:val="center"/>
        <w:rPr>
          <w:rFonts w:hint="eastAsia"/>
          <w:sz w:val="28"/>
          <w:szCs w:val="28"/>
          <w:highlight w:val="none"/>
        </w:rPr>
      </w:pPr>
      <w:r>
        <w:rPr>
          <w:rFonts w:hint="eastAsia"/>
          <w:b/>
          <w:bCs/>
          <w:sz w:val="28"/>
          <w:szCs w:val="28"/>
          <w:highlight w:val="none"/>
        </w:rPr>
        <w:t>投 标 函</w:t>
      </w:r>
    </w:p>
    <w:p w14:paraId="2E2FE3A6">
      <w:pPr>
        <w:spacing w:line="420" w:lineRule="exact"/>
        <w:rPr>
          <w:rFonts w:hint="eastAsia" w:ascii="宋体" w:hAnsi="宋体"/>
          <w:sz w:val="24"/>
          <w:szCs w:val="24"/>
          <w:highlight w:val="none"/>
          <w:u w:val="single"/>
        </w:rPr>
      </w:pPr>
      <w:r>
        <w:rPr>
          <w:rFonts w:hint="eastAsia" w:ascii="宋体" w:hAnsi="宋体"/>
          <w:sz w:val="24"/>
          <w:szCs w:val="24"/>
          <w:highlight w:val="none"/>
          <w:u w:val="single"/>
        </w:rPr>
        <w:t>江苏洋口港投资开发有限公司：</w:t>
      </w:r>
    </w:p>
    <w:p w14:paraId="0900B406">
      <w:pPr>
        <w:pStyle w:val="14"/>
        <w:spacing w:before="0" w:beforeAutospacing="0" w:after="0" w:afterAutospacing="0" w:line="420" w:lineRule="exact"/>
        <w:ind w:firstLine="360" w:firstLineChars="150"/>
        <w:rPr>
          <w:rFonts w:hint="eastAsia"/>
          <w:szCs w:val="24"/>
          <w:highlight w:val="none"/>
        </w:rPr>
      </w:pPr>
      <w:r>
        <w:rPr>
          <w:rFonts w:hint="eastAsia"/>
          <w:szCs w:val="24"/>
          <w:highlight w:val="none"/>
        </w:rPr>
        <w:t>1.根据已收到的</w:t>
      </w:r>
      <w:r>
        <w:rPr>
          <w:rFonts w:hint="eastAsia"/>
          <w:szCs w:val="24"/>
          <w:highlight w:val="none"/>
          <w:u w:val="single"/>
        </w:rPr>
        <w:t xml:space="preserve">  如东洋口港经济开发区建筑新材料产业园标准厂房一期南侧临时用房拆除处置项目 </w:t>
      </w:r>
      <w:r>
        <w:rPr>
          <w:rFonts w:hint="eastAsia"/>
          <w:szCs w:val="24"/>
          <w:highlight w:val="none"/>
        </w:rPr>
        <w:t>的采购文件、遵照《中华人民共和国政府采购法》及《中华人民共和国招标投标法》等有关规定，经勘察项目现场和研究上述采购文件的有关内容及其他有关文件（说明）后，我方愿以：</w:t>
      </w:r>
      <w:r>
        <w:rPr>
          <w:rFonts w:hint="eastAsia"/>
          <w:szCs w:val="24"/>
          <w:highlight w:val="none"/>
          <w:u w:val="single"/>
        </w:rPr>
        <w:t xml:space="preserve">              </w:t>
      </w:r>
      <w:r>
        <w:rPr>
          <w:rFonts w:hint="eastAsia"/>
          <w:szCs w:val="24"/>
          <w:highlight w:val="none"/>
        </w:rPr>
        <w:t>万元（大写：</w:t>
      </w:r>
      <w:r>
        <w:rPr>
          <w:rFonts w:hint="eastAsia"/>
          <w:szCs w:val="24"/>
          <w:highlight w:val="none"/>
          <w:u w:val="single"/>
        </w:rPr>
        <w:t xml:space="preserve">          </w:t>
      </w:r>
      <w:r>
        <w:rPr>
          <w:rFonts w:hint="eastAsia"/>
          <w:szCs w:val="24"/>
          <w:highlight w:val="none"/>
        </w:rPr>
        <w:t>）的总价，按上述采购文件及其他有关文件（说明）要求承包上述工程的拆除、清除拆除物、处置等工作内容。并承担任何安全责任及潜在风险。</w:t>
      </w:r>
    </w:p>
    <w:p w14:paraId="69E88F69">
      <w:pPr>
        <w:pStyle w:val="14"/>
        <w:spacing w:before="0" w:beforeAutospacing="0" w:after="0" w:afterAutospacing="0" w:line="420" w:lineRule="exact"/>
        <w:rPr>
          <w:rFonts w:hint="eastAsia"/>
          <w:szCs w:val="24"/>
          <w:highlight w:val="none"/>
        </w:rPr>
      </w:pPr>
      <w:r>
        <w:rPr>
          <w:rFonts w:hint="eastAsia"/>
          <w:szCs w:val="24"/>
          <w:highlight w:val="none"/>
        </w:rPr>
        <w:t xml:space="preserve">   2.我方派出</w:t>
      </w:r>
      <w:r>
        <w:rPr>
          <w:rFonts w:hint="eastAsia"/>
          <w:b/>
          <w:szCs w:val="24"/>
          <w:highlight w:val="none"/>
          <w:u w:val="single"/>
        </w:rPr>
        <w:t xml:space="preserve">                   </w:t>
      </w:r>
      <w:r>
        <w:rPr>
          <w:rFonts w:hint="eastAsia"/>
          <w:b/>
          <w:szCs w:val="24"/>
          <w:highlight w:val="none"/>
        </w:rPr>
        <w:t>（项目负责人姓名）</w:t>
      </w:r>
      <w:r>
        <w:rPr>
          <w:rFonts w:hint="eastAsia"/>
          <w:szCs w:val="24"/>
          <w:highlight w:val="none"/>
        </w:rPr>
        <w:t>作为本次拆除及处置项目的负责人。</w:t>
      </w:r>
    </w:p>
    <w:p w14:paraId="4F569D33">
      <w:pPr>
        <w:spacing w:line="420" w:lineRule="exact"/>
        <w:ind w:firstLine="360" w:firstLineChars="150"/>
        <w:jc w:val="left"/>
        <w:rPr>
          <w:rFonts w:hint="eastAsia" w:ascii="宋体" w:hAnsi="宋体"/>
          <w:sz w:val="24"/>
          <w:szCs w:val="24"/>
          <w:highlight w:val="none"/>
        </w:rPr>
      </w:pPr>
      <w:r>
        <w:rPr>
          <w:rFonts w:hint="eastAsia" w:ascii="宋体" w:hAnsi="宋体"/>
          <w:sz w:val="24"/>
          <w:szCs w:val="24"/>
          <w:highlight w:val="none"/>
        </w:rPr>
        <w:t>3.如我方中标，我方</w:t>
      </w:r>
      <w:r>
        <w:rPr>
          <w:rFonts w:hint="eastAsia" w:ascii="宋体" w:hAnsi="宋体"/>
          <w:b/>
          <w:sz w:val="24"/>
          <w:szCs w:val="24"/>
          <w:highlight w:val="none"/>
        </w:rPr>
        <w:t>保证在规定的时间内完成拆除、垃圾清运、处置等一切内容</w:t>
      </w:r>
      <w:r>
        <w:rPr>
          <w:rFonts w:hint="eastAsia" w:ascii="宋体" w:hAnsi="宋体"/>
          <w:sz w:val="24"/>
          <w:szCs w:val="24"/>
          <w:highlight w:val="none"/>
        </w:rPr>
        <w:t>。</w:t>
      </w:r>
    </w:p>
    <w:p w14:paraId="738A4A99">
      <w:pPr>
        <w:pStyle w:val="14"/>
        <w:spacing w:before="0" w:beforeAutospacing="0" w:after="0" w:afterAutospacing="0" w:line="420" w:lineRule="exact"/>
        <w:ind w:firstLine="360" w:firstLineChars="150"/>
        <w:rPr>
          <w:rFonts w:hint="eastAsia"/>
          <w:szCs w:val="24"/>
          <w:highlight w:val="none"/>
        </w:rPr>
      </w:pPr>
      <w:r>
        <w:rPr>
          <w:rFonts w:hint="eastAsia"/>
          <w:szCs w:val="24"/>
          <w:highlight w:val="none"/>
        </w:rPr>
        <w:t>4.我方已详细审核全部采购文件，包括修改文件、答疑（如有时）及有关附件，我方完全响应并认可上述文件的所有条款。</w:t>
      </w:r>
      <w:r>
        <w:rPr>
          <w:rFonts w:hint="eastAsia"/>
          <w:szCs w:val="24"/>
          <w:highlight w:val="none"/>
        </w:rPr>
        <w:br w:type="textWrapping"/>
      </w:r>
      <w:r>
        <w:rPr>
          <w:rFonts w:hint="eastAsia"/>
          <w:szCs w:val="24"/>
          <w:highlight w:val="none"/>
        </w:rPr>
        <w:t xml:space="preserve">   </w:t>
      </w:r>
      <w:r>
        <w:rPr>
          <w:rFonts w:hint="eastAsia"/>
          <w:highlight w:val="none"/>
        </w:rPr>
        <w:t>5.</w:t>
      </w:r>
      <w:r>
        <w:rPr>
          <w:rFonts w:hint="eastAsia"/>
          <w:szCs w:val="24"/>
          <w:highlight w:val="none"/>
        </w:rPr>
        <w:t>中标后，在签订合同前，我方</w:t>
      </w:r>
      <w:r>
        <w:rPr>
          <w:rFonts w:hint="eastAsia"/>
          <w:b/>
          <w:szCs w:val="24"/>
          <w:highlight w:val="none"/>
        </w:rPr>
        <w:t>自愿缴纳</w:t>
      </w:r>
      <w:r>
        <w:rPr>
          <w:rFonts w:hint="eastAsia"/>
          <w:b/>
          <w:szCs w:val="24"/>
          <w:highlight w:val="none"/>
          <w:u w:val="single"/>
        </w:rPr>
        <w:t>中标价的1</w:t>
      </w:r>
      <w:r>
        <w:rPr>
          <w:b/>
          <w:szCs w:val="24"/>
          <w:highlight w:val="none"/>
          <w:u w:val="single"/>
        </w:rPr>
        <w:t>0</w:t>
      </w:r>
      <w:r>
        <w:rPr>
          <w:rFonts w:hint="eastAsia"/>
          <w:b/>
          <w:szCs w:val="24"/>
          <w:highlight w:val="none"/>
          <w:u w:val="single"/>
        </w:rPr>
        <w:t>%</w:t>
      </w:r>
      <w:r>
        <w:rPr>
          <w:rFonts w:hint="eastAsia"/>
          <w:b/>
          <w:szCs w:val="24"/>
          <w:highlight w:val="none"/>
        </w:rPr>
        <w:t>作为履约保证金</w:t>
      </w:r>
      <w:r>
        <w:rPr>
          <w:rFonts w:hint="eastAsia"/>
          <w:szCs w:val="24"/>
          <w:highlight w:val="none"/>
        </w:rPr>
        <w:t>押存在采购人处。</w:t>
      </w:r>
      <w:r>
        <w:rPr>
          <w:rFonts w:hint="eastAsia"/>
          <w:szCs w:val="24"/>
          <w:highlight w:val="none"/>
        </w:rPr>
        <w:br w:type="textWrapping"/>
      </w:r>
      <w:r>
        <w:rPr>
          <w:rFonts w:hint="eastAsia"/>
          <w:szCs w:val="24"/>
          <w:highlight w:val="none"/>
        </w:rPr>
        <w:t xml:space="preserve">   6.我方同意所提交的投标文件在“采购文件投标须知”中规定的投标有效期内有效，在此期间内如果中标，我方将受此约束。</w:t>
      </w:r>
      <w:r>
        <w:rPr>
          <w:rFonts w:hint="eastAsia"/>
          <w:szCs w:val="24"/>
          <w:highlight w:val="none"/>
        </w:rPr>
        <w:br w:type="textWrapping"/>
      </w:r>
      <w:r>
        <w:rPr>
          <w:rFonts w:hint="eastAsia"/>
          <w:szCs w:val="24"/>
          <w:highlight w:val="none"/>
        </w:rPr>
        <w:t xml:space="preserve">   7.除非另外达成协议生效，你方的中标通知书和本投标文件将成为约束双方的合同文件的组成部分。</w:t>
      </w:r>
    </w:p>
    <w:p w14:paraId="0E9DDF24">
      <w:pPr>
        <w:pStyle w:val="14"/>
        <w:spacing w:before="0" w:beforeAutospacing="0" w:after="0" w:afterAutospacing="0" w:line="420" w:lineRule="exact"/>
        <w:ind w:firstLine="360" w:firstLineChars="150"/>
        <w:rPr>
          <w:rFonts w:hint="eastAsia"/>
          <w:szCs w:val="24"/>
          <w:highlight w:val="none"/>
        </w:rPr>
      </w:pPr>
      <w:r>
        <w:rPr>
          <w:rFonts w:hint="eastAsia"/>
          <w:szCs w:val="24"/>
          <w:highlight w:val="none"/>
        </w:rPr>
        <w:t>8.我方按照采购文件的要求，提供投标资料（附后），如我方提供的资料不真实，我方将放弃中标的权利，并承担由此产生的责任。</w:t>
      </w:r>
      <w:r>
        <w:rPr>
          <w:rFonts w:hint="eastAsia"/>
          <w:szCs w:val="24"/>
          <w:highlight w:val="none"/>
        </w:rPr>
        <w:br w:type="textWrapping"/>
      </w:r>
      <w:r>
        <w:rPr>
          <w:rFonts w:hint="eastAsia"/>
          <w:szCs w:val="24"/>
          <w:highlight w:val="none"/>
        </w:rPr>
        <w:t xml:space="preserve">   9.我方在实施本工程项目时做到安全第一、质量第一。如涉及到安全或质量问题由我方负责。</w:t>
      </w:r>
    </w:p>
    <w:p w14:paraId="6C3DEF3E">
      <w:pPr>
        <w:spacing w:line="420" w:lineRule="exact"/>
        <w:jc w:val="left"/>
        <w:rPr>
          <w:rFonts w:hint="eastAsia" w:ascii="宋体" w:hAnsi="宋体"/>
          <w:sz w:val="24"/>
          <w:szCs w:val="24"/>
          <w:highlight w:val="none"/>
          <w:u w:val="single"/>
        </w:rPr>
      </w:pPr>
      <w:r>
        <w:rPr>
          <w:rFonts w:hint="eastAsia" w:ascii="宋体" w:hAnsi="宋体"/>
          <w:sz w:val="24"/>
          <w:szCs w:val="24"/>
          <w:highlight w:val="none"/>
        </w:rPr>
        <w:t>投标人：</w:t>
      </w:r>
      <w:r>
        <w:rPr>
          <w:rFonts w:hint="eastAsia" w:ascii="宋体" w:hAnsi="宋体"/>
          <w:sz w:val="24"/>
          <w:szCs w:val="24"/>
          <w:highlight w:val="none"/>
          <w:u w:val="single"/>
        </w:rPr>
        <w:t xml:space="preserve">　　　　  　（盖章）                   </w:t>
      </w:r>
      <w:r>
        <w:rPr>
          <w:rFonts w:hint="eastAsia" w:ascii="宋体" w:hAnsi="宋体"/>
          <w:sz w:val="24"/>
          <w:szCs w:val="24"/>
          <w:highlight w:val="none"/>
          <w:u w:val="single"/>
        </w:rPr>
        <w:br w:type="textWrapping"/>
      </w:r>
      <w:r>
        <w:rPr>
          <w:rFonts w:hint="eastAsia" w:ascii="宋体" w:hAnsi="宋体"/>
          <w:sz w:val="24"/>
          <w:szCs w:val="24"/>
          <w:highlight w:val="none"/>
        </w:rPr>
        <w:t>单位地址：</w:t>
      </w:r>
      <w:r>
        <w:rPr>
          <w:rFonts w:hint="eastAsia" w:ascii="宋体" w:hAnsi="宋体"/>
          <w:sz w:val="24"/>
          <w:szCs w:val="24"/>
          <w:highlight w:val="none"/>
          <w:u w:val="single"/>
        </w:rPr>
        <w:t xml:space="preserve">                                      </w:t>
      </w:r>
      <w:r>
        <w:rPr>
          <w:rFonts w:hint="eastAsia" w:ascii="宋体" w:hAnsi="宋体"/>
          <w:sz w:val="24"/>
          <w:szCs w:val="24"/>
          <w:highlight w:val="none"/>
        </w:rPr>
        <w:t>　　　　　　　　　　　　　　　　　　　　　　　</w:t>
      </w:r>
      <w:r>
        <w:rPr>
          <w:rFonts w:hint="eastAsia" w:ascii="宋体" w:hAnsi="宋体"/>
          <w:sz w:val="24"/>
          <w:szCs w:val="24"/>
          <w:highlight w:val="none"/>
        </w:rPr>
        <w:br w:type="textWrapping"/>
      </w:r>
      <w:r>
        <w:rPr>
          <w:rFonts w:hint="eastAsia" w:ascii="宋体" w:hAnsi="宋体"/>
          <w:sz w:val="24"/>
          <w:szCs w:val="24"/>
          <w:highlight w:val="none"/>
        </w:rPr>
        <w:t>法定代表人：</w:t>
      </w:r>
      <w:r>
        <w:rPr>
          <w:rFonts w:hint="eastAsia" w:ascii="宋体" w:hAnsi="宋体"/>
          <w:sz w:val="24"/>
          <w:szCs w:val="24"/>
          <w:highlight w:val="none"/>
          <w:u w:val="single"/>
        </w:rPr>
        <w:t xml:space="preserve">　　      （签字或盖章）            </w:t>
      </w:r>
    </w:p>
    <w:p w14:paraId="2175512B">
      <w:pPr>
        <w:spacing w:line="420" w:lineRule="exact"/>
        <w:ind w:left="5280" w:hanging="5280" w:hangingChars="2200"/>
        <w:jc w:val="left"/>
        <w:rPr>
          <w:rFonts w:hint="eastAsia" w:ascii="宋体" w:hAnsi="宋体"/>
          <w:sz w:val="24"/>
          <w:szCs w:val="24"/>
          <w:highlight w:val="none"/>
        </w:rPr>
      </w:pPr>
      <w:r>
        <w:rPr>
          <w:rFonts w:hint="eastAsia" w:ascii="宋体" w:hAnsi="宋体"/>
          <w:sz w:val="24"/>
          <w:szCs w:val="24"/>
          <w:highlight w:val="none"/>
        </w:rPr>
        <w:t>邮政编码：</w:t>
      </w:r>
      <w:r>
        <w:rPr>
          <w:rFonts w:hint="eastAsia" w:ascii="宋体" w:hAnsi="宋体"/>
          <w:sz w:val="24"/>
          <w:szCs w:val="24"/>
          <w:highlight w:val="none"/>
          <w:u w:val="single"/>
        </w:rPr>
        <w:t xml:space="preserve">　　　　　  </w:t>
      </w:r>
      <w:r>
        <w:rPr>
          <w:rFonts w:hint="eastAsia" w:ascii="宋体" w:hAnsi="宋体"/>
          <w:sz w:val="24"/>
          <w:szCs w:val="24"/>
          <w:highlight w:val="none"/>
        </w:rPr>
        <w:t>电话：</w:t>
      </w:r>
      <w:r>
        <w:rPr>
          <w:rFonts w:hint="eastAsia" w:ascii="宋体" w:hAnsi="宋体"/>
          <w:sz w:val="24"/>
          <w:szCs w:val="24"/>
          <w:highlight w:val="none"/>
          <w:u w:val="single"/>
        </w:rPr>
        <w:t>　　　  　</w:t>
      </w:r>
      <w:r>
        <w:rPr>
          <w:rFonts w:hint="eastAsia" w:ascii="宋体" w:hAnsi="宋体"/>
          <w:sz w:val="24"/>
          <w:szCs w:val="24"/>
          <w:highlight w:val="none"/>
        </w:rPr>
        <w:t>传真：</w:t>
      </w:r>
      <w:r>
        <w:rPr>
          <w:rFonts w:hint="eastAsia" w:ascii="宋体" w:hAnsi="宋体"/>
          <w:sz w:val="24"/>
          <w:szCs w:val="24"/>
          <w:highlight w:val="none"/>
          <w:u w:val="single"/>
        </w:rPr>
        <w:t xml:space="preserve">               </w:t>
      </w:r>
      <w:r>
        <w:rPr>
          <w:rFonts w:hint="eastAsia" w:ascii="宋体" w:hAnsi="宋体"/>
          <w:sz w:val="24"/>
          <w:szCs w:val="24"/>
          <w:highlight w:val="none"/>
        </w:rPr>
        <w:t>　　　　　</w:t>
      </w:r>
      <w:r>
        <w:rPr>
          <w:rFonts w:hint="eastAsia" w:ascii="宋体" w:hAnsi="宋体"/>
          <w:sz w:val="24"/>
          <w:szCs w:val="24"/>
          <w:highlight w:val="none"/>
        </w:rPr>
        <w:br w:type="textWrapping"/>
      </w:r>
      <w:r>
        <w:rPr>
          <w:rFonts w:hint="eastAsia" w:ascii="宋体" w:hAnsi="宋体"/>
          <w:sz w:val="24"/>
          <w:szCs w:val="24"/>
          <w:highlight w:val="none"/>
        </w:rPr>
        <w:t>日期：　　 　年　　  月　   日</w:t>
      </w:r>
    </w:p>
    <w:p w14:paraId="40A0DB00">
      <w:pPr>
        <w:spacing w:line="420" w:lineRule="exact"/>
        <w:ind w:left="5280" w:hanging="5280" w:hangingChars="2200"/>
        <w:jc w:val="left"/>
        <w:rPr>
          <w:rFonts w:hint="eastAsia" w:ascii="宋体" w:hAnsi="宋体"/>
          <w:sz w:val="24"/>
          <w:szCs w:val="24"/>
          <w:highlight w:val="none"/>
        </w:rPr>
      </w:pPr>
    </w:p>
    <w:p w14:paraId="37B73DDD">
      <w:pPr>
        <w:spacing w:line="420" w:lineRule="exact"/>
        <w:ind w:left="6626" w:hanging="6626" w:hangingChars="2200"/>
        <w:rPr>
          <w:b/>
          <w:bCs/>
          <w:sz w:val="30"/>
          <w:szCs w:val="30"/>
          <w:highlight w:val="none"/>
        </w:rPr>
      </w:pPr>
      <w:r>
        <w:rPr>
          <w:rFonts w:hint="eastAsia"/>
          <w:b/>
          <w:bCs/>
          <w:sz w:val="30"/>
          <w:szCs w:val="30"/>
          <w:highlight w:val="none"/>
        </w:rPr>
        <w:br w:type="page"/>
      </w:r>
      <w:r>
        <w:rPr>
          <w:rFonts w:hint="eastAsia"/>
          <w:b/>
          <w:bCs/>
          <w:sz w:val="30"/>
          <w:szCs w:val="30"/>
          <w:highlight w:val="none"/>
        </w:rPr>
        <w:t>附件八：</w:t>
      </w:r>
    </w:p>
    <w:p w14:paraId="094D2EB7">
      <w:pPr>
        <w:pStyle w:val="3"/>
        <w:jc w:val="center"/>
        <w:rPr>
          <w:rFonts w:hint="eastAsia" w:hAnsi="宋体"/>
          <w:b/>
          <w:bCs/>
          <w:sz w:val="28"/>
          <w:szCs w:val="28"/>
          <w:highlight w:val="none"/>
        </w:rPr>
      </w:pPr>
      <w:bookmarkStart w:id="7" w:name="_Hlk80128366"/>
      <w:r>
        <w:rPr>
          <w:rFonts w:hint="eastAsia" w:hAnsi="宋体"/>
          <w:b/>
          <w:bCs/>
          <w:sz w:val="28"/>
          <w:szCs w:val="28"/>
          <w:highlight w:val="none"/>
        </w:rPr>
        <w:t>分项报价表</w:t>
      </w:r>
    </w:p>
    <w:p w14:paraId="4C95CDE2">
      <w:pPr>
        <w:pStyle w:val="3"/>
        <w:jc w:val="both"/>
        <w:rPr>
          <w:rFonts w:hint="eastAsia" w:hAnsi="宋体"/>
          <w:b/>
          <w:bCs/>
          <w:highlight w:val="none"/>
        </w:rPr>
      </w:pPr>
      <w:r>
        <w:rPr>
          <w:rFonts w:hint="eastAsia" w:hAnsi="宋体"/>
          <w:b/>
          <w:bCs/>
          <w:highlight w:val="none"/>
        </w:rPr>
        <w:t>项目名称：如东洋口港经济开发区建筑新材料产业园标准厂房一期南侧临时用房拆除处置项目</w:t>
      </w:r>
    </w:p>
    <w:tbl>
      <w:tblPr>
        <w:tblStyle w:val="16"/>
        <w:tblW w:w="9251" w:type="dxa"/>
        <w:jc w:val="center"/>
        <w:tblLayout w:type="fixed"/>
        <w:tblCellMar>
          <w:top w:w="0" w:type="dxa"/>
          <w:left w:w="108" w:type="dxa"/>
          <w:bottom w:w="0" w:type="dxa"/>
          <w:right w:w="108" w:type="dxa"/>
        </w:tblCellMar>
      </w:tblPr>
      <w:tblGrid>
        <w:gridCol w:w="645"/>
        <w:gridCol w:w="1603"/>
        <w:gridCol w:w="864"/>
        <w:gridCol w:w="1150"/>
        <w:gridCol w:w="1571"/>
        <w:gridCol w:w="1463"/>
        <w:gridCol w:w="1310"/>
        <w:gridCol w:w="645"/>
      </w:tblGrid>
      <w:tr w14:paraId="3BB831D2">
        <w:tblPrEx>
          <w:tblCellMar>
            <w:top w:w="0" w:type="dxa"/>
            <w:left w:w="108" w:type="dxa"/>
            <w:bottom w:w="0" w:type="dxa"/>
            <w:right w:w="108" w:type="dxa"/>
          </w:tblCellMar>
        </w:tblPrEx>
        <w:trPr>
          <w:trHeight w:val="48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16024E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1602" w:type="dxa"/>
            <w:tcBorders>
              <w:top w:val="single" w:color="000000" w:sz="4" w:space="0"/>
              <w:left w:val="single" w:color="000000" w:sz="4" w:space="0"/>
              <w:bottom w:val="single" w:color="000000" w:sz="4" w:space="0"/>
              <w:right w:val="single" w:color="000000" w:sz="4" w:space="0"/>
            </w:tcBorders>
            <w:noWrap/>
            <w:vAlign w:val="center"/>
          </w:tcPr>
          <w:p w14:paraId="72142B7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资产名称</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4015741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988944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DD5EE1A">
            <w:pPr>
              <w:jc w:val="center"/>
              <w:rPr>
                <w:rFonts w:hint="eastAsia" w:ascii="宋体" w:hAnsi="宋体" w:cs="宋体"/>
                <w:color w:val="000000"/>
                <w:szCs w:val="21"/>
                <w:highlight w:val="none"/>
              </w:rPr>
            </w:pPr>
            <w:r>
              <w:rPr>
                <w:rFonts w:hint="eastAsia" w:ascii="宋体" w:hAnsi="宋体" w:cs="宋体"/>
                <w:color w:val="000000"/>
                <w:szCs w:val="21"/>
                <w:highlight w:val="none"/>
              </w:rPr>
              <w:t>单价控制价（元）</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4933C5E">
            <w:pPr>
              <w:jc w:val="center"/>
              <w:rPr>
                <w:rFonts w:hint="eastAsia" w:ascii="宋体" w:hAnsi="宋体" w:cs="宋体"/>
                <w:color w:val="000000"/>
                <w:szCs w:val="21"/>
                <w:highlight w:val="none"/>
              </w:rPr>
            </w:pPr>
            <w:r>
              <w:rPr>
                <w:rFonts w:hint="eastAsia" w:ascii="宋体" w:hAnsi="宋体" w:cs="宋体"/>
                <w:color w:val="000000"/>
                <w:szCs w:val="21"/>
                <w:highlight w:val="none"/>
              </w:rPr>
              <w:t>投标单价（元）</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C168B92">
            <w:pPr>
              <w:jc w:val="center"/>
              <w:rPr>
                <w:rFonts w:hint="eastAsia" w:ascii="宋体" w:hAnsi="宋体" w:cs="宋体"/>
                <w:color w:val="000000"/>
                <w:szCs w:val="21"/>
                <w:highlight w:val="none"/>
              </w:rPr>
            </w:pPr>
            <w:r>
              <w:rPr>
                <w:rFonts w:hint="eastAsia" w:ascii="宋体" w:hAnsi="宋体" w:cs="宋体"/>
                <w:color w:val="000000"/>
                <w:szCs w:val="21"/>
                <w:highlight w:val="none"/>
              </w:rPr>
              <w:t>合计（元）</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CDFE4A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备注</w:t>
            </w:r>
          </w:p>
        </w:tc>
      </w:tr>
      <w:tr w14:paraId="33612037">
        <w:tblPrEx>
          <w:tblCellMar>
            <w:top w:w="0" w:type="dxa"/>
            <w:left w:w="108" w:type="dxa"/>
            <w:bottom w:w="0" w:type="dxa"/>
            <w:right w:w="108" w:type="dxa"/>
          </w:tblCellMar>
        </w:tblPrEx>
        <w:trPr>
          <w:trHeight w:val="48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50255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602" w:type="dxa"/>
            <w:tcBorders>
              <w:top w:val="single" w:color="000000" w:sz="4" w:space="0"/>
              <w:left w:val="single" w:color="000000" w:sz="4" w:space="0"/>
              <w:bottom w:val="single" w:color="000000" w:sz="4" w:space="0"/>
              <w:right w:val="single" w:color="000000" w:sz="4" w:space="0"/>
            </w:tcBorders>
            <w:vAlign w:val="center"/>
          </w:tcPr>
          <w:p w14:paraId="629916B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附房</w:t>
            </w:r>
          </w:p>
        </w:tc>
        <w:tc>
          <w:tcPr>
            <w:tcW w:w="864" w:type="dxa"/>
            <w:tcBorders>
              <w:top w:val="single" w:color="000000" w:sz="4" w:space="0"/>
              <w:left w:val="single" w:color="000000" w:sz="4" w:space="0"/>
              <w:bottom w:val="single" w:color="000000" w:sz="4" w:space="0"/>
              <w:right w:val="single" w:color="000000" w:sz="4" w:space="0"/>
            </w:tcBorders>
            <w:vAlign w:val="center"/>
          </w:tcPr>
          <w:p w14:paraId="2D3D64F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m2</w:t>
            </w:r>
          </w:p>
        </w:tc>
        <w:tc>
          <w:tcPr>
            <w:tcW w:w="1150" w:type="dxa"/>
            <w:tcBorders>
              <w:top w:val="single" w:color="000000" w:sz="4" w:space="0"/>
              <w:left w:val="single" w:color="000000" w:sz="4" w:space="0"/>
              <w:bottom w:val="single" w:color="000000" w:sz="4" w:space="0"/>
              <w:right w:val="single" w:color="000000" w:sz="4" w:space="0"/>
            </w:tcBorders>
            <w:vAlign w:val="center"/>
          </w:tcPr>
          <w:p w14:paraId="32248D4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2453.03</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F5B6B7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C574B69">
            <w:pPr>
              <w:widowControl/>
              <w:jc w:val="center"/>
              <w:textAlignment w:val="center"/>
              <w:rPr>
                <w:rFonts w:hint="eastAsia" w:ascii="宋体" w:hAnsi="宋体" w:cs="宋体"/>
                <w:color w:val="000000"/>
                <w:kern w:val="0"/>
                <w:szCs w:val="21"/>
                <w:highlight w:val="none"/>
                <w:lang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F98A03C">
            <w:pPr>
              <w:widowControl/>
              <w:jc w:val="center"/>
              <w:textAlignment w:val="center"/>
              <w:rPr>
                <w:rFonts w:hint="eastAsia" w:ascii="宋体" w:hAnsi="宋体" w:cs="宋体"/>
                <w:color w:val="000000"/>
                <w:kern w:val="0"/>
                <w:szCs w:val="21"/>
                <w:highlight w:val="none"/>
                <w:lang w:bidi="ar"/>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1C4D0C9">
            <w:pPr>
              <w:jc w:val="center"/>
              <w:rPr>
                <w:rFonts w:hint="eastAsia" w:ascii="宋体" w:hAnsi="宋体" w:cs="宋体"/>
                <w:color w:val="000000"/>
                <w:szCs w:val="21"/>
                <w:highlight w:val="none"/>
              </w:rPr>
            </w:pPr>
          </w:p>
        </w:tc>
      </w:tr>
      <w:tr w14:paraId="5E0EF6DB">
        <w:tblPrEx>
          <w:tblCellMar>
            <w:top w:w="0" w:type="dxa"/>
            <w:left w:w="108" w:type="dxa"/>
            <w:bottom w:w="0" w:type="dxa"/>
            <w:right w:w="108" w:type="dxa"/>
          </w:tblCellMar>
        </w:tblPrEx>
        <w:trPr>
          <w:trHeight w:val="48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EB282D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602" w:type="dxa"/>
            <w:tcBorders>
              <w:top w:val="single" w:color="000000" w:sz="4" w:space="0"/>
              <w:left w:val="single" w:color="000000" w:sz="4" w:space="0"/>
              <w:bottom w:val="single" w:color="000000" w:sz="4" w:space="0"/>
              <w:right w:val="single" w:color="000000" w:sz="4" w:space="0"/>
            </w:tcBorders>
            <w:vAlign w:val="center"/>
          </w:tcPr>
          <w:p w14:paraId="5ECA93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电缆</w:t>
            </w:r>
          </w:p>
        </w:tc>
        <w:tc>
          <w:tcPr>
            <w:tcW w:w="864" w:type="dxa"/>
            <w:tcBorders>
              <w:top w:val="single" w:color="000000" w:sz="4" w:space="0"/>
              <w:left w:val="single" w:color="000000" w:sz="4" w:space="0"/>
              <w:bottom w:val="single" w:color="000000" w:sz="4" w:space="0"/>
              <w:right w:val="single" w:color="000000" w:sz="4" w:space="0"/>
            </w:tcBorders>
            <w:vAlign w:val="center"/>
          </w:tcPr>
          <w:p w14:paraId="5660499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w:t>
            </w:r>
          </w:p>
        </w:tc>
        <w:tc>
          <w:tcPr>
            <w:tcW w:w="1150" w:type="dxa"/>
            <w:tcBorders>
              <w:top w:val="single" w:color="000000" w:sz="4" w:space="0"/>
              <w:left w:val="single" w:color="000000" w:sz="4" w:space="0"/>
              <w:bottom w:val="single" w:color="000000" w:sz="4" w:space="0"/>
              <w:right w:val="single" w:color="000000" w:sz="4" w:space="0"/>
            </w:tcBorders>
            <w:vAlign w:val="center"/>
          </w:tcPr>
          <w:p w14:paraId="71F5184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756</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1134E589">
            <w:pPr>
              <w:widowControl/>
              <w:jc w:val="center"/>
              <w:textAlignment w:val="center"/>
              <w:rPr>
                <w:rFonts w:hint="eastAsia" w:ascii="宋体" w:hAnsi="宋体" w:cs="宋体"/>
                <w:color w:val="000000"/>
                <w:szCs w:val="21"/>
                <w:highlight w:val="none"/>
              </w:rPr>
            </w:pPr>
            <w:r>
              <w:rPr>
                <w:rFonts w:hint="eastAsia" w:eastAsia="Times New Roman"/>
                <w:spacing w:val="3"/>
                <w:sz w:val="19"/>
                <w:szCs w:val="19"/>
                <w:highlight w:val="none"/>
              </w:rPr>
              <w:t>195</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FADDA57">
            <w:pPr>
              <w:widowControl/>
              <w:jc w:val="center"/>
              <w:textAlignment w:val="center"/>
              <w:rPr>
                <w:rFonts w:hint="eastAsia" w:ascii="宋体" w:hAnsi="宋体" w:cs="宋体"/>
                <w:color w:val="000000"/>
                <w:kern w:val="0"/>
                <w:szCs w:val="21"/>
                <w:highlight w:val="none"/>
                <w:lang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00BA09A">
            <w:pPr>
              <w:widowControl/>
              <w:jc w:val="center"/>
              <w:textAlignment w:val="center"/>
              <w:rPr>
                <w:rFonts w:hint="eastAsia" w:ascii="宋体" w:hAnsi="宋体" w:cs="宋体"/>
                <w:color w:val="000000"/>
                <w:kern w:val="0"/>
                <w:szCs w:val="21"/>
                <w:highlight w:val="none"/>
                <w:lang w:bidi="ar"/>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5E2519B">
            <w:pPr>
              <w:jc w:val="center"/>
              <w:rPr>
                <w:rFonts w:hint="eastAsia" w:ascii="宋体" w:hAnsi="宋体" w:cs="宋体"/>
                <w:color w:val="000000"/>
                <w:szCs w:val="21"/>
                <w:highlight w:val="none"/>
              </w:rPr>
            </w:pPr>
          </w:p>
        </w:tc>
      </w:tr>
      <w:tr w14:paraId="6A437CB5">
        <w:tblPrEx>
          <w:tblCellMar>
            <w:top w:w="0" w:type="dxa"/>
            <w:left w:w="108" w:type="dxa"/>
            <w:bottom w:w="0" w:type="dxa"/>
            <w:right w:w="108" w:type="dxa"/>
          </w:tblCellMar>
        </w:tblPrEx>
        <w:trPr>
          <w:trHeight w:val="48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E5B4B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602" w:type="dxa"/>
            <w:tcBorders>
              <w:top w:val="single" w:color="000000" w:sz="4" w:space="0"/>
              <w:left w:val="single" w:color="000000" w:sz="4" w:space="0"/>
              <w:bottom w:val="single" w:color="000000" w:sz="4" w:space="0"/>
              <w:right w:val="single" w:color="000000" w:sz="4" w:space="0"/>
            </w:tcBorders>
            <w:vAlign w:val="center"/>
          </w:tcPr>
          <w:p w14:paraId="0A5BEA26">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eastAsia="zh-CN" w:bidi="ar"/>
              </w:rPr>
              <w:t>附房室内铜芯线</w:t>
            </w:r>
          </w:p>
        </w:tc>
        <w:tc>
          <w:tcPr>
            <w:tcW w:w="864" w:type="dxa"/>
            <w:tcBorders>
              <w:top w:val="single" w:color="000000" w:sz="4" w:space="0"/>
              <w:left w:val="single" w:color="000000" w:sz="4" w:space="0"/>
              <w:bottom w:val="single" w:color="000000" w:sz="4" w:space="0"/>
              <w:right w:val="single" w:color="000000" w:sz="4" w:space="0"/>
            </w:tcBorders>
            <w:vAlign w:val="center"/>
          </w:tcPr>
          <w:p w14:paraId="3898B3B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66DBA42">
            <w:pPr>
              <w:widowControl/>
              <w:jc w:val="center"/>
              <w:textAlignment w:val="center"/>
              <w:rPr>
                <w:rFonts w:hint="eastAsia" w:ascii="宋体" w:hAnsi="宋体" w:cs="宋体"/>
                <w:color w:val="000000"/>
                <w:szCs w:val="21"/>
                <w:highlight w:val="none"/>
              </w:rPr>
            </w:pPr>
            <w:r>
              <w:rPr>
                <w:rFonts w:ascii="宋体" w:hAnsi="宋体" w:cs="宋体"/>
                <w:sz w:val="19"/>
                <w:szCs w:val="19"/>
                <w:highlight w:val="none"/>
              </w:rPr>
              <w:t>1</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21B9E96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5000</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52CD09C">
            <w:pPr>
              <w:widowControl/>
              <w:jc w:val="center"/>
              <w:textAlignment w:val="center"/>
              <w:rPr>
                <w:rFonts w:hint="eastAsia" w:ascii="宋体" w:hAnsi="宋体" w:cs="宋体"/>
                <w:color w:val="000000"/>
                <w:kern w:val="0"/>
                <w:szCs w:val="21"/>
                <w:highlight w:val="none"/>
                <w:lang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07C4756">
            <w:pPr>
              <w:widowControl/>
              <w:jc w:val="center"/>
              <w:textAlignment w:val="center"/>
              <w:rPr>
                <w:rFonts w:hint="eastAsia" w:ascii="宋体" w:hAnsi="宋体" w:cs="宋体"/>
                <w:color w:val="000000"/>
                <w:kern w:val="0"/>
                <w:szCs w:val="21"/>
                <w:highlight w:val="none"/>
                <w:lang w:bidi="ar"/>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265AD74">
            <w:pPr>
              <w:jc w:val="center"/>
              <w:rPr>
                <w:rFonts w:hint="eastAsia" w:ascii="宋体" w:hAnsi="宋体" w:cs="宋体"/>
                <w:color w:val="000000"/>
                <w:szCs w:val="21"/>
                <w:highlight w:val="none"/>
              </w:rPr>
            </w:pPr>
          </w:p>
        </w:tc>
      </w:tr>
      <w:tr w14:paraId="64F5A1F8">
        <w:tblPrEx>
          <w:tblCellMar>
            <w:top w:w="0" w:type="dxa"/>
            <w:left w:w="108" w:type="dxa"/>
            <w:bottom w:w="0" w:type="dxa"/>
            <w:right w:w="108" w:type="dxa"/>
          </w:tblCellMar>
        </w:tblPrEx>
        <w:trPr>
          <w:trHeight w:val="489" w:hRule="atLeast"/>
          <w:jc w:val="center"/>
        </w:trPr>
        <w:tc>
          <w:tcPr>
            <w:tcW w:w="2248" w:type="dxa"/>
            <w:gridSpan w:val="2"/>
            <w:tcBorders>
              <w:top w:val="single" w:color="000000" w:sz="4" w:space="0"/>
              <w:left w:val="single" w:color="000000" w:sz="4" w:space="0"/>
              <w:bottom w:val="single" w:color="000000" w:sz="4" w:space="0"/>
              <w:right w:val="single" w:color="000000" w:sz="4" w:space="0"/>
            </w:tcBorders>
            <w:noWrap/>
            <w:vAlign w:val="center"/>
          </w:tcPr>
          <w:p w14:paraId="6E41032C">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投标总价（元）</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6E682CCB">
            <w:pPr>
              <w:jc w:val="center"/>
              <w:rPr>
                <w:rFonts w:hint="eastAsia" w:ascii="宋体" w:hAnsi="宋体" w:cs="宋体"/>
                <w:b/>
                <w:bCs/>
                <w:color w:val="00000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D45590">
            <w:pPr>
              <w:jc w:val="center"/>
              <w:rPr>
                <w:rFonts w:hint="eastAsia" w:ascii="宋体" w:hAnsi="宋体" w:cs="宋体"/>
                <w:b/>
                <w:bCs/>
                <w:color w:val="000000"/>
                <w:szCs w:val="21"/>
                <w:highlight w:val="none"/>
              </w:rPr>
            </w:pP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2210EB73">
            <w:pPr>
              <w:jc w:val="center"/>
              <w:rPr>
                <w:rFonts w:hint="eastAsia" w:ascii="宋体" w:hAnsi="宋体" w:cs="宋体"/>
                <w:color w:val="000000"/>
                <w:szCs w:val="21"/>
                <w:highlight w:val="none"/>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EBA6AF2">
            <w:pPr>
              <w:jc w:val="center"/>
              <w:rPr>
                <w:rFonts w:hint="eastAsia" w:ascii="宋体" w:hAnsi="宋体" w:cs="宋体"/>
                <w:color w:val="000000"/>
                <w:szCs w:val="21"/>
                <w:highlight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5F405B2">
            <w:pPr>
              <w:jc w:val="center"/>
              <w:rPr>
                <w:rFonts w:hint="eastAsia" w:ascii="宋体" w:hAnsi="宋体" w:cs="宋体"/>
                <w:color w:val="000000"/>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855033F">
            <w:pPr>
              <w:jc w:val="center"/>
              <w:rPr>
                <w:rFonts w:hint="eastAsia" w:ascii="宋体" w:hAnsi="宋体" w:cs="宋体"/>
                <w:color w:val="000000"/>
                <w:szCs w:val="21"/>
                <w:highlight w:val="none"/>
              </w:rPr>
            </w:pPr>
          </w:p>
        </w:tc>
      </w:tr>
    </w:tbl>
    <w:p w14:paraId="43E37703">
      <w:pPr>
        <w:pStyle w:val="3"/>
        <w:jc w:val="center"/>
        <w:rPr>
          <w:rFonts w:hint="eastAsia" w:hAnsi="宋体"/>
          <w:b/>
          <w:bCs/>
          <w:sz w:val="28"/>
          <w:szCs w:val="28"/>
          <w:highlight w:val="none"/>
        </w:rPr>
      </w:pPr>
    </w:p>
    <w:p w14:paraId="3B06641B">
      <w:pPr>
        <w:pStyle w:val="3"/>
        <w:rPr>
          <w:rFonts w:hint="eastAsia" w:hAnsi="宋体"/>
          <w:b/>
          <w:bCs/>
          <w:highlight w:val="none"/>
        </w:rPr>
      </w:pPr>
      <w:r>
        <w:rPr>
          <w:rFonts w:hint="eastAsia" w:hAnsi="宋体"/>
          <w:b/>
          <w:bCs/>
          <w:highlight w:val="none"/>
        </w:rPr>
        <w:t>注：</w:t>
      </w:r>
    </w:p>
    <w:p w14:paraId="1BE0D62C">
      <w:pPr>
        <w:pStyle w:val="3"/>
        <w:numPr>
          <w:ilvl w:val="0"/>
          <w:numId w:val="2"/>
        </w:numPr>
        <w:rPr>
          <w:rFonts w:hint="eastAsia" w:hAnsi="宋体"/>
          <w:b/>
          <w:bCs/>
          <w:highlight w:val="none"/>
        </w:rPr>
      </w:pPr>
      <w:r>
        <w:rPr>
          <w:rFonts w:hint="eastAsia" w:hAnsi="宋体"/>
          <w:b/>
          <w:bCs/>
          <w:highlight w:val="none"/>
        </w:rPr>
        <w:t>本项目招标控制价为：</w:t>
      </w:r>
      <w:r>
        <w:rPr>
          <w:rFonts w:hint="eastAsia" w:hAnsi="宋体"/>
          <w:b/>
          <w:bCs/>
          <w:highlight w:val="none"/>
          <w:lang w:eastAsia="zh-CN"/>
        </w:rPr>
        <w:t>174497</w:t>
      </w:r>
      <w:r>
        <w:rPr>
          <w:rFonts w:hint="eastAsia" w:hAnsi="宋体"/>
          <w:b/>
          <w:bCs/>
          <w:highlight w:val="none"/>
        </w:rPr>
        <w:t>.00元。</w:t>
      </w:r>
    </w:p>
    <w:p w14:paraId="1875B583">
      <w:pPr>
        <w:pStyle w:val="3"/>
        <w:rPr>
          <w:rFonts w:hint="eastAsia" w:hAnsi="宋体"/>
          <w:b/>
          <w:bCs/>
          <w:highlight w:val="none"/>
        </w:rPr>
      </w:pPr>
      <w:r>
        <w:rPr>
          <w:rFonts w:hint="eastAsia" w:hAnsi="宋体"/>
          <w:b/>
          <w:bCs/>
          <w:highlight w:val="none"/>
        </w:rPr>
        <w:t>2、投标单价*数量=合计，合计之和等于投标总价。</w:t>
      </w:r>
    </w:p>
    <w:p w14:paraId="0F377B7F">
      <w:pPr>
        <w:pStyle w:val="3"/>
        <w:rPr>
          <w:rFonts w:hint="eastAsia" w:hAnsi="宋体"/>
          <w:b/>
          <w:bCs/>
          <w:highlight w:val="none"/>
        </w:rPr>
      </w:pPr>
      <w:r>
        <w:rPr>
          <w:rFonts w:hint="eastAsia" w:hAnsi="宋体"/>
          <w:b/>
          <w:bCs/>
          <w:highlight w:val="none"/>
        </w:rPr>
        <w:t>3、投标人所投单价和投标总价高于（</w:t>
      </w:r>
      <w:r>
        <w:rPr>
          <w:rFonts w:hint="eastAsia" w:hAnsi="宋体"/>
          <w:b/>
          <w:bCs/>
          <w:color w:val="FF0000"/>
          <w:highlight w:val="none"/>
        </w:rPr>
        <w:t>不含等于</w:t>
      </w:r>
      <w:r>
        <w:rPr>
          <w:rFonts w:hint="eastAsia" w:hAnsi="宋体"/>
          <w:b/>
          <w:bCs/>
          <w:highlight w:val="none"/>
        </w:rPr>
        <w:t>）单价控制价和招标控制价的有效报价，否则视为无效报价，作废标处理。</w:t>
      </w:r>
      <w:r>
        <w:rPr>
          <w:rFonts w:hint="eastAsia" w:hAnsi="宋体"/>
          <w:b/>
          <w:color w:val="FF0000"/>
          <w:highlight w:val="none"/>
        </w:rPr>
        <w:t>（注：投标报价若有小数须保留两位小数。）</w:t>
      </w:r>
      <w:r>
        <w:rPr>
          <w:rFonts w:hint="eastAsia" w:hAnsi="宋体"/>
          <w:b/>
          <w:bCs/>
          <w:highlight w:val="none"/>
        </w:rPr>
        <w:t xml:space="preserve"> </w:t>
      </w:r>
    </w:p>
    <w:p w14:paraId="1F33F217">
      <w:pPr>
        <w:spacing w:line="400" w:lineRule="exact"/>
        <w:rPr>
          <w:rFonts w:hint="eastAsia" w:ascii="宋体" w:hAnsi="宋体"/>
          <w:sz w:val="24"/>
          <w:szCs w:val="24"/>
          <w:highlight w:val="none"/>
        </w:rPr>
      </w:pPr>
    </w:p>
    <w:p w14:paraId="74B2CF30">
      <w:pPr>
        <w:pStyle w:val="2"/>
        <w:rPr>
          <w:highlight w:val="none"/>
        </w:rPr>
      </w:pPr>
    </w:p>
    <w:p w14:paraId="3CCDB4B4">
      <w:pPr>
        <w:pStyle w:val="3"/>
        <w:rPr>
          <w:rFonts w:hint="eastAsia" w:hAnsi="宋体"/>
          <w:highlight w:val="none"/>
        </w:rPr>
      </w:pPr>
    </w:p>
    <w:p w14:paraId="7E616DD5">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投单位全称（加盖公章）：</w:t>
      </w:r>
    </w:p>
    <w:p w14:paraId="1F2FD687">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p>
    <w:p w14:paraId="41A18F46">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法定代表人签字或盖章：</w:t>
      </w:r>
    </w:p>
    <w:p w14:paraId="406C6837">
      <w:pPr>
        <w:pStyle w:val="2"/>
        <w:spacing w:line="400" w:lineRule="exact"/>
        <w:rPr>
          <w:rFonts w:hint="eastAsia" w:ascii="宋体" w:hAnsi="宋体" w:cs="宋体"/>
          <w:highlight w:val="none"/>
        </w:rPr>
      </w:pPr>
    </w:p>
    <w:p w14:paraId="1A24D15D">
      <w:pPr>
        <w:pStyle w:val="3"/>
        <w:rPr>
          <w:rFonts w:hint="eastAsia" w:hAnsi="宋体"/>
          <w:highlight w:val="none"/>
        </w:rPr>
      </w:pPr>
    </w:p>
    <w:p w14:paraId="2507BA3B">
      <w:pPr>
        <w:pStyle w:val="3"/>
        <w:rPr>
          <w:rFonts w:hint="eastAsia" w:hAnsi="宋体"/>
          <w:highlight w:val="none"/>
        </w:rPr>
      </w:pPr>
    </w:p>
    <w:p w14:paraId="1CC09F44">
      <w:pPr>
        <w:adjustRightInd w:val="0"/>
        <w:spacing w:line="360" w:lineRule="auto"/>
        <w:jc w:val="righ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日   期：</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日</w:t>
      </w:r>
    </w:p>
    <w:p w14:paraId="3A9533B9">
      <w:pPr>
        <w:spacing w:line="420" w:lineRule="exact"/>
        <w:ind w:left="5922" w:leftChars="1596" w:hanging="2570" w:hangingChars="800"/>
        <w:jc w:val="left"/>
        <w:rPr>
          <w:rFonts w:hint="eastAsia" w:ascii="宋体" w:hAnsi="宋体" w:cs="宋体"/>
          <w:b/>
          <w:sz w:val="28"/>
          <w:szCs w:val="28"/>
          <w:highlight w:val="none"/>
        </w:rPr>
      </w:pPr>
      <w:r>
        <w:rPr>
          <w:rFonts w:hint="eastAsia" w:ascii="宋体" w:hAnsi="宋体"/>
          <w:b/>
          <w:sz w:val="32"/>
          <w:highlight w:val="none"/>
        </w:rPr>
        <w:br w:type="page"/>
      </w:r>
      <w:bookmarkEnd w:id="7"/>
    </w:p>
    <w:p w14:paraId="4D243F84">
      <w:pPr>
        <w:pStyle w:val="3"/>
        <w:rPr>
          <w:highlight w:val="none"/>
        </w:rPr>
      </w:pPr>
    </w:p>
    <w:p w14:paraId="580A826B">
      <w:pPr>
        <w:ind w:left="283" w:leftChars="135" w:firstLine="22" w:firstLineChars="5"/>
        <w:jc w:val="center"/>
        <w:rPr>
          <w:rFonts w:hint="eastAsia" w:ascii="宋体" w:hAnsi="宋体"/>
          <w:b/>
          <w:sz w:val="44"/>
          <w:szCs w:val="44"/>
          <w:highlight w:val="none"/>
        </w:rPr>
      </w:pPr>
    </w:p>
    <w:p w14:paraId="6714A5D8">
      <w:pPr>
        <w:jc w:val="center"/>
        <w:rPr>
          <w:rFonts w:ascii="宋体"/>
          <w:b/>
          <w:sz w:val="44"/>
          <w:szCs w:val="44"/>
          <w:highlight w:val="none"/>
        </w:rPr>
      </w:pPr>
      <w:r>
        <w:rPr>
          <w:rFonts w:ascii="宋体" w:hAnsi="宋体"/>
          <w:b/>
          <w:sz w:val="44"/>
          <w:szCs w:val="44"/>
          <w:highlight w:val="none"/>
        </w:rPr>
        <w:t xml:space="preserve"> </w:t>
      </w:r>
      <w:r>
        <w:rPr>
          <w:rFonts w:hint="eastAsia" w:ascii="宋体" w:hAnsi="宋体"/>
          <w:b/>
          <w:sz w:val="44"/>
          <w:szCs w:val="44"/>
          <w:highlight w:val="none"/>
        </w:rPr>
        <w:t>合  同 书</w:t>
      </w:r>
    </w:p>
    <w:p w14:paraId="1FACD5E0">
      <w:pPr>
        <w:ind w:left="283" w:leftChars="135" w:firstLine="14" w:firstLineChars="5"/>
        <w:jc w:val="center"/>
        <w:rPr>
          <w:rFonts w:ascii="宋体"/>
          <w:sz w:val="28"/>
          <w:szCs w:val="28"/>
          <w:highlight w:val="none"/>
        </w:rPr>
      </w:pPr>
    </w:p>
    <w:p w14:paraId="0824468F">
      <w:pPr>
        <w:ind w:left="283" w:leftChars="135" w:firstLine="16" w:firstLineChars="5"/>
        <w:rPr>
          <w:rFonts w:ascii="宋体"/>
          <w:sz w:val="32"/>
          <w:szCs w:val="32"/>
          <w:highlight w:val="none"/>
        </w:rPr>
      </w:pPr>
    </w:p>
    <w:p w14:paraId="41AD3684">
      <w:pPr>
        <w:ind w:left="283" w:leftChars="135" w:firstLine="16" w:firstLineChars="5"/>
        <w:rPr>
          <w:rFonts w:ascii="宋体"/>
          <w:sz w:val="32"/>
          <w:szCs w:val="32"/>
          <w:highlight w:val="none"/>
        </w:rPr>
      </w:pPr>
    </w:p>
    <w:p w14:paraId="5E60FE49">
      <w:pPr>
        <w:pStyle w:val="2"/>
        <w:rPr>
          <w:highlight w:val="none"/>
        </w:rPr>
      </w:pPr>
    </w:p>
    <w:p w14:paraId="775AE3B0">
      <w:pPr>
        <w:pStyle w:val="3"/>
        <w:rPr>
          <w:highlight w:val="none"/>
        </w:rPr>
      </w:pPr>
    </w:p>
    <w:p w14:paraId="1F41AACE">
      <w:pPr>
        <w:pStyle w:val="3"/>
        <w:rPr>
          <w:highlight w:val="none"/>
        </w:rPr>
      </w:pPr>
    </w:p>
    <w:p w14:paraId="07F49230">
      <w:pPr>
        <w:pStyle w:val="3"/>
        <w:rPr>
          <w:highlight w:val="none"/>
        </w:rPr>
      </w:pPr>
    </w:p>
    <w:p w14:paraId="0A91EA1D">
      <w:pPr>
        <w:pStyle w:val="3"/>
        <w:rPr>
          <w:highlight w:val="none"/>
        </w:rPr>
      </w:pPr>
    </w:p>
    <w:p w14:paraId="193ECB63">
      <w:pPr>
        <w:pStyle w:val="3"/>
        <w:rPr>
          <w:highlight w:val="none"/>
        </w:rPr>
      </w:pPr>
    </w:p>
    <w:p w14:paraId="2D54D76E">
      <w:pPr>
        <w:pStyle w:val="3"/>
        <w:rPr>
          <w:highlight w:val="none"/>
        </w:rPr>
      </w:pPr>
    </w:p>
    <w:p w14:paraId="5CF25E94">
      <w:pPr>
        <w:pStyle w:val="3"/>
        <w:rPr>
          <w:highlight w:val="none"/>
        </w:rPr>
      </w:pPr>
    </w:p>
    <w:p w14:paraId="36B26CF3">
      <w:pPr>
        <w:pStyle w:val="3"/>
        <w:rPr>
          <w:highlight w:val="none"/>
        </w:rPr>
      </w:pPr>
    </w:p>
    <w:p w14:paraId="3C9C7C9F">
      <w:pPr>
        <w:pStyle w:val="3"/>
        <w:rPr>
          <w:highlight w:val="none"/>
        </w:rPr>
      </w:pPr>
    </w:p>
    <w:p w14:paraId="2698543D">
      <w:pPr>
        <w:pStyle w:val="3"/>
        <w:rPr>
          <w:highlight w:val="none"/>
        </w:rPr>
      </w:pPr>
    </w:p>
    <w:p w14:paraId="721E606A">
      <w:pPr>
        <w:pStyle w:val="3"/>
        <w:rPr>
          <w:highlight w:val="none"/>
        </w:rPr>
      </w:pPr>
    </w:p>
    <w:p w14:paraId="5E0F440D">
      <w:pPr>
        <w:pStyle w:val="3"/>
        <w:rPr>
          <w:highlight w:val="none"/>
        </w:rPr>
      </w:pPr>
    </w:p>
    <w:p w14:paraId="741D4099">
      <w:pPr>
        <w:pStyle w:val="3"/>
        <w:rPr>
          <w:highlight w:val="none"/>
        </w:rPr>
      </w:pPr>
    </w:p>
    <w:p w14:paraId="7D157323">
      <w:pPr>
        <w:pStyle w:val="3"/>
        <w:rPr>
          <w:highlight w:val="none"/>
        </w:rPr>
      </w:pPr>
    </w:p>
    <w:p w14:paraId="736F9A3D">
      <w:pPr>
        <w:rPr>
          <w:rFonts w:ascii="宋体"/>
          <w:sz w:val="32"/>
          <w:szCs w:val="32"/>
          <w:highlight w:val="none"/>
        </w:rPr>
      </w:pPr>
    </w:p>
    <w:p w14:paraId="3436D5C7">
      <w:pPr>
        <w:spacing w:line="360" w:lineRule="auto"/>
        <w:ind w:left="2917" w:leftChars="389" w:hanging="2100" w:hangingChars="700"/>
        <w:rPr>
          <w:rFonts w:hint="eastAsia" w:ascii="宋体" w:hAnsi="宋体"/>
          <w:sz w:val="30"/>
          <w:szCs w:val="30"/>
          <w:highlight w:val="none"/>
        </w:rPr>
      </w:pPr>
    </w:p>
    <w:p w14:paraId="4FA80EA2">
      <w:pPr>
        <w:spacing w:line="360" w:lineRule="auto"/>
        <w:ind w:left="2340" w:leftChars="400" w:hanging="1500" w:hangingChars="500"/>
        <w:jc w:val="left"/>
        <w:rPr>
          <w:rFonts w:hint="eastAsia" w:ascii="宋体" w:hAnsi="宋体"/>
          <w:sz w:val="28"/>
          <w:szCs w:val="30"/>
          <w:highlight w:val="none"/>
          <w:u w:val="single"/>
        </w:rPr>
      </w:pPr>
      <w:r>
        <w:rPr>
          <w:rFonts w:hint="eastAsia" w:ascii="宋体" w:hAnsi="宋体"/>
          <w:sz w:val="30"/>
          <w:szCs w:val="30"/>
          <w:highlight w:val="none"/>
        </w:rPr>
        <w:t>项目名称：</w:t>
      </w:r>
      <w:r>
        <w:rPr>
          <w:rFonts w:hint="eastAsia" w:ascii="宋体" w:hAnsi="宋体"/>
          <w:sz w:val="28"/>
          <w:szCs w:val="30"/>
          <w:highlight w:val="none"/>
          <w:u w:val="single"/>
        </w:rPr>
        <w:t>如东洋口港经济开发区建筑新材料产业园标准厂房一期南侧临时用房拆除处置项目</w:t>
      </w:r>
    </w:p>
    <w:p w14:paraId="0B8E5CBD">
      <w:pPr>
        <w:spacing w:line="360" w:lineRule="auto"/>
        <w:ind w:left="2917" w:leftChars="389" w:hanging="2100" w:hangingChars="700"/>
        <w:rPr>
          <w:rFonts w:ascii="宋体"/>
          <w:sz w:val="30"/>
          <w:szCs w:val="30"/>
          <w:highlight w:val="none"/>
        </w:rPr>
      </w:pPr>
      <w:r>
        <w:rPr>
          <w:rFonts w:hint="eastAsia" w:ascii="宋体" w:hAnsi="宋体"/>
          <w:sz w:val="30"/>
          <w:szCs w:val="30"/>
          <w:highlight w:val="none"/>
        </w:rPr>
        <w:t>项目地点：</w:t>
      </w:r>
      <w:r>
        <w:rPr>
          <w:rFonts w:hint="eastAsia" w:ascii="宋体" w:hAnsi="宋体"/>
          <w:sz w:val="28"/>
          <w:szCs w:val="30"/>
          <w:highlight w:val="none"/>
          <w:u w:val="single"/>
        </w:rPr>
        <w:t>如东洋口港经济开发区</w:t>
      </w:r>
    </w:p>
    <w:p w14:paraId="77F5E1AC">
      <w:pPr>
        <w:spacing w:line="360" w:lineRule="auto"/>
        <w:ind w:left="283" w:leftChars="135" w:firstLine="531" w:firstLineChars="177"/>
        <w:rPr>
          <w:rFonts w:hint="eastAsia" w:ascii="宋体" w:hAnsi="宋体"/>
          <w:sz w:val="28"/>
          <w:szCs w:val="30"/>
          <w:highlight w:val="none"/>
          <w:u w:val="single"/>
        </w:rPr>
      </w:pPr>
      <w:r>
        <w:rPr>
          <w:rFonts w:hint="eastAsia" w:ascii="宋体" w:hAnsi="宋体"/>
          <w:sz w:val="30"/>
          <w:szCs w:val="30"/>
          <w:highlight w:val="none"/>
        </w:rPr>
        <w:t>委   托   人：</w:t>
      </w:r>
      <w:r>
        <w:rPr>
          <w:rFonts w:hint="eastAsia" w:ascii="宋体" w:hAnsi="宋体"/>
          <w:sz w:val="28"/>
          <w:szCs w:val="30"/>
          <w:highlight w:val="none"/>
          <w:u w:val="single"/>
        </w:rPr>
        <w:t>江苏洋口港投资开发有限公司</w:t>
      </w:r>
    </w:p>
    <w:p w14:paraId="450D22D6">
      <w:pPr>
        <w:spacing w:line="360" w:lineRule="auto"/>
        <w:ind w:left="283" w:leftChars="135" w:firstLine="531" w:firstLineChars="177"/>
        <w:rPr>
          <w:rFonts w:hint="eastAsia" w:ascii="宋体" w:hAnsi="宋体"/>
          <w:sz w:val="28"/>
          <w:szCs w:val="28"/>
          <w:highlight w:val="none"/>
          <w:u w:val="single"/>
        </w:rPr>
      </w:pPr>
      <w:r>
        <w:rPr>
          <w:rFonts w:hint="eastAsia" w:ascii="宋体" w:hAnsi="宋体"/>
          <w:sz w:val="30"/>
          <w:szCs w:val="30"/>
          <w:highlight w:val="none"/>
        </w:rPr>
        <w:t>被 委 托  人：</w:t>
      </w:r>
      <w:r>
        <w:rPr>
          <w:rFonts w:hint="eastAsia" w:ascii="宋体" w:hAnsi="宋体"/>
          <w:sz w:val="30"/>
          <w:szCs w:val="30"/>
          <w:highlight w:val="none"/>
          <w:u w:val="single"/>
        </w:rPr>
        <w:t xml:space="preserve">                     </w:t>
      </w:r>
    </w:p>
    <w:p w14:paraId="59CFD5DC">
      <w:pPr>
        <w:spacing w:line="360" w:lineRule="auto"/>
        <w:ind w:left="283" w:leftChars="135" w:firstLine="531" w:firstLineChars="177"/>
        <w:rPr>
          <w:rFonts w:ascii="宋体"/>
          <w:sz w:val="28"/>
          <w:szCs w:val="30"/>
          <w:highlight w:val="none"/>
        </w:rPr>
      </w:pPr>
      <w:r>
        <w:rPr>
          <w:rFonts w:hint="eastAsia" w:ascii="宋体" w:hAnsi="宋体"/>
          <w:sz w:val="30"/>
          <w:szCs w:val="30"/>
          <w:highlight w:val="none"/>
        </w:rPr>
        <w:t>签订日期：</w:t>
      </w:r>
      <w:r>
        <w:rPr>
          <w:rFonts w:ascii="宋体" w:hAnsi="宋体"/>
          <w:sz w:val="28"/>
          <w:szCs w:val="30"/>
          <w:highlight w:val="none"/>
          <w:u w:val="single"/>
        </w:rPr>
        <w:t>20</w:t>
      </w:r>
      <w:r>
        <w:rPr>
          <w:rFonts w:hint="eastAsia" w:ascii="宋体" w:hAnsi="宋体"/>
          <w:sz w:val="28"/>
          <w:szCs w:val="30"/>
          <w:highlight w:val="none"/>
          <w:u w:val="single"/>
        </w:rPr>
        <w:t>24年     月     日</w:t>
      </w:r>
    </w:p>
    <w:p w14:paraId="7E9D8BA6">
      <w:pPr>
        <w:spacing w:line="360" w:lineRule="auto"/>
        <w:ind w:left="283" w:leftChars="135" w:firstLine="10" w:firstLineChars="5"/>
        <w:rPr>
          <w:rFonts w:ascii="宋体"/>
          <w:highlight w:val="none"/>
        </w:rPr>
      </w:pPr>
    </w:p>
    <w:p w14:paraId="52908430">
      <w:pPr>
        <w:jc w:val="center"/>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合  同</w:t>
      </w:r>
    </w:p>
    <w:p w14:paraId="5E4B01EA">
      <w:pPr>
        <w:spacing w:line="400" w:lineRule="exact"/>
        <w:ind w:firstLine="354" w:firstLineChars="147"/>
        <w:rPr>
          <w:rFonts w:hint="eastAsia" w:ascii="宋体" w:hAnsi="宋体" w:cs="宋体"/>
          <w:b/>
          <w:sz w:val="24"/>
          <w:szCs w:val="24"/>
          <w:highlight w:val="none"/>
        </w:rPr>
      </w:pPr>
    </w:p>
    <w:p w14:paraId="6E57B8AB">
      <w:pPr>
        <w:spacing w:line="400" w:lineRule="exact"/>
        <w:ind w:firstLine="354" w:firstLineChars="147"/>
        <w:rPr>
          <w:rFonts w:hint="eastAsia" w:ascii="宋体" w:hAnsi="宋体" w:cs="宋体"/>
          <w:sz w:val="24"/>
          <w:szCs w:val="24"/>
          <w:highlight w:val="none"/>
          <w:u w:val="single"/>
        </w:rPr>
      </w:pPr>
      <w:r>
        <w:rPr>
          <w:rFonts w:hint="eastAsia" w:ascii="宋体" w:hAnsi="宋体" w:cs="宋体"/>
          <w:b/>
          <w:sz w:val="24"/>
          <w:szCs w:val="24"/>
          <w:highlight w:val="none"/>
        </w:rPr>
        <w:t xml:space="preserve">甲方(需方)： </w:t>
      </w:r>
      <w:r>
        <w:rPr>
          <w:rFonts w:ascii="宋体" w:hAnsi="宋体" w:cs="宋体"/>
          <w:b/>
          <w:sz w:val="24"/>
          <w:szCs w:val="24"/>
          <w:highlight w:val="none"/>
        </w:rPr>
        <w:t xml:space="preserve">                             </w:t>
      </w:r>
      <w:r>
        <w:rPr>
          <w:rFonts w:hint="eastAsia" w:ascii="宋体" w:hAnsi="宋体" w:cs="宋体"/>
          <w:sz w:val="24"/>
          <w:szCs w:val="24"/>
          <w:highlight w:val="none"/>
        </w:rPr>
        <w:t>签订地点：</w:t>
      </w:r>
    </w:p>
    <w:p w14:paraId="0CFDD36C">
      <w:pPr>
        <w:spacing w:line="400" w:lineRule="exact"/>
        <w:ind w:firstLine="354" w:firstLineChars="147"/>
        <w:rPr>
          <w:rFonts w:hint="eastAsia" w:ascii="宋体" w:hAnsi="宋体" w:cs="宋体"/>
          <w:sz w:val="24"/>
          <w:szCs w:val="24"/>
          <w:highlight w:val="none"/>
          <w:u w:val="single"/>
        </w:rPr>
      </w:pPr>
      <w:r>
        <w:rPr>
          <w:rFonts w:hint="eastAsia" w:ascii="宋体" w:hAnsi="宋体" w:cs="宋体"/>
          <w:b/>
          <w:sz w:val="24"/>
          <w:szCs w:val="24"/>
          <w:highlight w:val="none"/>
        </w:rPr>
        <w:t xml:space="preserve">乙方(供方)： </w:t>
      </w:r>
      <w:r>
        <w:rPr>
          <w:rFonts w:ascii="宋体" w:hAnsi="宋体" w:cs="宋体"/>
          <w:b/>
          <w:sz w:val="24"/>
          <w:szCs w:val="24"/>
          <w:highlight w:val="none"/>
        </w:rPr>
        <w:t xml:space="preserve">                             </w:t>
      </w:r>
      <w:r>
        <w:rPr>
          <w:rFonts w:hint="eastAsia" w:ascii="宋体" w:hAnsi="宋体" w:cs="宋体"/>
          <w:sz w:val="24"/>
          <w:szCs w:val="24"/>
          <w:highlight w:val="none"/>
        </w:rPr>
        <w:t>签订时间：</w:t>
      </w:r>
    </w:p>
    <w:p w14:paraId="340DF045">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根据</w:t>
      </w:r>
      <w:r>
        <w:rPr>
          <w:rFonts w:hint="eastAsia" w:ascii="宋体" w:hAnsi="宋体" w:cs="宋体"/>
          <w:sz w:val="24"/>
          <w:szCs w:val="24"/>
          <w:highlight w:val="none"/>
          <w:u w:val="single"/>
        </w:rPr>
        <w:t>YKG2024CAC161如东洋口港经济开发区建筑新材料产业园标准厂房一期南侧临时用房拆除处置项目</w:t>
      </w:r>
      <w:r>
        <w:rPr>
          <w:rFonts w:hint="eastAsia" w:ascii="宋体" w:hAnsi="宋体" w:cs="宋体"/>
          <w:sz w:val="24"/>
          <w:szCs w:val="24"/>
          <w:highlight w:val="none"/>
        </w:rPr>
        <w:t>政府招标项目中标（成交）通知书，供需双方本着公平自愿和诚实信用的原则,依据《中华人民共和国招标投标法》、《中华人民共和国政府采购法》等法律法规，订立如下供需合同：</w:t>
      </w:r>
    </w:p>
    <w:p w14:paraId="09291241">
      <w:pPr>
        <w:spacing w:line="400" w:lineRule="exact"/>
        <w:rPr>
          <w:rFonts w:hint="eastAsia"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b/>
          <w:bCs/>
          <w:sz w:val="24"/>
          <w:szCs w:val="24"/>
          <w:highlight w:val="none"/>
        </w:rPr>
        <w:t>项目概况及内容：</w:t>
      </w:r>
    </w:p>
    <w:p w14:paraId="230DD143">
      <w:pPr>
        <w:tabs>
          <w:tab w:val="center" w:pos="4153"/>
        </w:tabs>
        <w:snapToGrid w:val="0"/>
        <w:spacing w:line="400" w:lineRule="exact"/>
        <w:ind w:firstLine="480" w:firstLineChars="200"/>
        <w:rPr>
          <w:rFonts w:hint="eastAsia" w:ascii="宋体" w:hAnsi="宋体"/>
          <w:color w:val="FF0000"/>
          <w:sz w:val="24"/>
          <w:highlight w:val="none"/>
          <w:u w:val="single"/>
        </w:rPr>
      </w:pPr>
      <w:r>
        <w:rPr>
          <w:rFonts w:ascii="宋体" w:hAnsi="宋体" w:cs="楷体"/>
          <w:color w:val="000000"/>
          <w:kern w:val="0"/>
          <w:sz w:val="24"/>
          <w:highlight w:val="none"/>
        </w:rPr>
        <w:t>1</w:t>
      </w:r>
      <w:r>
        <w:rPr>
          <w:rFonts w:ascii="宋体" w:cs="楷体"/>
          <w:snapToGrid w:val="0"/>
          <w:color w:val="000000"/>
          <w:kern w:val="0"/>
          <w:sz w:val="24"/>
          <w:highlight w:val="none"/>
        </w:rPr>
        <w:t>.</w:t>
      </w:r>
      <w:r>
        <w:rPr>
          <w:rFonts w:ascii="宋体" w:hAnsi="宋体" w:cs="楷体"/>
          <w:color w:val="000000"/>
          <w:kern w:val="0"/>
          <w:sz w:val="24"/>
          <w:highlight w:val="none"/>
        </w:rPr>
        <w:t xml:space="preserve">1 </w:t>
      </w:r>
      <w:r>
        <w:rPr>
          <w:rFonts w:hint="eastAsia" w:ascii="宋体" w:hAnsi="宋体" w:cs="楷体"/>
          <w:color w:val="000000"/>
          <w:kern w:val="0"/>
          <w:sz w:val="24"/>
          <w:highlight w:val="none"/>
        </w:rPr>
        <w:t>项目名称：</w:t>
      </w:r>
      <w:r>
        <w:rPr>
          <w:rFonts w:hint="eastAsia" w:ascii="宋体" w:hAnsi="宋体" w:cs="楷体"/>
          <w:color w:val="000000"/>
          <w:kern w:val="0"/>
          <w:sz w:val="24"/>
          <w:highlight w:val="none"/>
          <w:u w:val="single"/>
        </w:rPr>
        <w:t>如东洋口港经济开发区建筑新材料产业园标准厂房一期南侧临时用房拆除处置项目</w:t>
      </w:r>
    </w:p>
    <w:p w14:paraId="57D7FC00">
      <w:pPr>
        <w:tabs>
          <w:tab w:val="center" w:pos="4153"/>
        </w:tabs>
        <w:snapToGrid w:val="0"/>
        <w:spacing w:line="400" w:lineRule="exact"/>
        <w:ind w:firstLine="480" w:firstLineChars="200"/>
        <w:rPr>
          <w:rFonts w:hint="eastAsia" w:ascii="宋体" w:hAnsi="宋体"/>
          <w:bCs/>
          <w:sz w:val="24"/>
          <w:highlight w:val="none"/>
          <w:u w:val="single"/>
        </w:rPr>
      </w:pPr>
      <w:r>
        <w:rPr>
          <w:rFonts w:ascii="宋体" w:hAnsi="宋体" w:cs="楷体"/>
          <w:snapToGrid w:val="0"/>
          <w:color w:val="000000"/>
          <w:kern w:val="0"/>
          <w:sz w:val="24"/>
          <w:highlight w:val="none"/>
        </w:rPr>
        <w:t>1.</w:t>
      </w:r>
      <w:r>
        <w:rPr>
          <w:rFonts w:hint="eastAsia" w:ascii="宋体" w:hAnsi="宋体" w:cs="楷体"/>
          <w:snapToGrid w:val="0"/>
          <w:color w:val="000000"/>
          <w:kern w:val="0"/>
          <w:sz w:val="24"/>
          <w:highlight w:val="none"/>
        </w:rPr>
        <w:t>2</w:t>
      </w:r>
      <w:r>
        <w:rPr>
          <w:rFonts w:ascii="宋体" w:hAnsi="宋体" w:cs="楷体"/>
          <w:snapToGrid w:val="0"/>
          <w:color w:val="000000"/>
          <w:kern w:val="0"/>
          <w:sz w:val="24"/>
          <w:highlight w:val="none"/>
        </w:rPr>
        <w:t xml:space="preserve"> </w:t>
      </w:r>
      <w:r>
        <w:rPr>
          <w:rFonts w:hint="eastAsia" w:ascii="宋体" w:hAnsi="宋体" w:cs="楷体"/>
          <w:snapToGrid w:val="0"/>
          <w:color w:val="000000"/>
          <w:kern w:val="0"/>
          <w:sz w:val="24"/>
          <w:highlight w:val="none"/>
        </w:rPr>
        <w:t>项目地点：</w:t>
      </w:r>
      <w:r>
        <w:rPr>
          <w:rFonts w:hint="eastAsia" w:ascii="宋体" w:hAnsi="宋体"/>
          <w:bCs/>
          <w:sz w:val="24"/>
          <w:highlight w:val="none"/>
          <w:u w:val="single"/>
        </w:rPr>
        <w:t xml:space="preserve"> </w:t>
      </w:r>
      <w:r>
        <w:rPr>
          <w:rFonts w:hint="eastAsia" w:ascii="宋体" w:hAnsi="宋体" w:cs="楷体"/>
          <w:color w:val="000000"/>
          <w:kern w:val="0"/>
          <w:sz w:val="24"/>
          <w:highlight w:val="none"/>
          <w:u w:val="single"/>
        </w:rPr>
        <w:t>如东洋口港经济开发区</w:t>
      </w:r>
      <w:r>
        <w:rPr>
          <w:rFonts w:hint="eastAsia" w:ascii="宋体" w:hAnsi="宋体"/>
          <w:bCs/>
          <w:sz w:val="24"/>
          <w:highlight w:val="none"/>
          <w:u w:val="single"/>
        </w:rPr>
        <w:t xml:space="preserve"> ；</w:t>
      </w:r>
    </w:p>
    <w:p w14:paraId="4BD40BDF">
      <w:pPr>
        <w:tabs>
          <w:tab w:val="center" w:pos="4153"/>
        </w:tabs>
        <w:snapToGrid w:val="0"/>
        <w:spacing w:line="400" w:lineRule="exact"/>
        <w:ind w:firstLine="480" w:firstLineChars="200"/>
        <w:rPr>
          <w:rFonts w:hint="eastAsia" w:ascii="宋体" w:hAnsi="宋体"/>
          <w:bCs/>
          <w:sz w:val="24"/>
          <w:highlight w:val="none"/>
          <w:u w:val="single"/>
        </w:rPr>
      </w:pPr>
      <w:r>
        <w:rPr>
          <w:rFonts w:hint="eastAsia" w:ascii="宋体" w:hAnsi="宋体"/>
          <w:bCs/>
          <w:sz w:val="24"/>
          <w:highlight w:val="none"/>
        </w:rPr>
        <w:t>1.3拆除规模：</w:t>
      </w:r>
      <w:r>
        <w:rPr>
          <w:rFonts w:hint="eastAsia" w:ascii="宋体" w:hAnsi="宋体"/>
          <w:bCs/>
          <w:sz w:val="24"/>
          <w:highlight w:val="none"/>
          <w:u w:val="single"/>
        </w:rPr>
        <w:t xml:space="preserve">   </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hint="eastAsia" w:ascii="宋体" w:hAnsi="宋体" w:cs="宋体"/>
          <w:kern w:val="0"/>
          <w:sz w:val="24"/>
          <w:szCs w:val="24"/>
          <w:highlight w:val="none"/>
        </w:rPr>
        <w:t>㎡；</w:t>
      </w:r>
    </w:p>
    <w:p w14:paraId="405651AB">
      <w:pPr>
        <w:pStyle w:val="2"/>
        <w:spacing w:line="400" w:lineRule="exact"/>
        <w:ind w:firstLine="480" w:firstLineChars="200"/>
        <w:rPr>
          <w:rFonts w:hint="eastAsia" w:ascii="宋体" w:hAnsi="宋体"/>
          <w:bCs/>
          <w:sz w:val="24"/>
          <w:highlight w:val="none"/>
          <w:u w:val="single"/>
        </w:rPr>
      </w:pPr>
      <w:r>
        <w:rPr>
          <w:rFonts w:hint="eastAsia" w:ascii="宋体" w:hAnsi="宋体"/>
          <w:bCs/>
          <w:sz w:val="24"/>
          <w:highlight w:val="none"/>
        </w:rPr>
        <w:t>1.4工期要求：</w:t>
      </w:r>
      <w:r>
        <w:rPr>
          <w:rFonts w:hint="eastAsia" w:ascii="宋体" w:hAnsi="宋体" w:cs="宋体"/>
          <w:b/>
          <w:sz w:val="24"/>
          <w:highlight w:val="none"/>
          <w:u w:val="single"/>
        </w:rPr>
        <w:t>拆除处置必须在30日历天内完成（含拆除、垃圾清运、处置等一切内容）。</w:t>
      </w:r>
    </w:p>
    <w:p w14:paraId="159C7FBA">
      <w:pPr>
        <w:widowControl/>
        <w:shd w:val="clear" w:color="auto" w:fill="FFFFFF"/>
        <w:spacing w:line="400" w:lineRule="exact"/>
        <w:ind w:firstLine="480" w:firstLineChars="200"/>
        <w:jc w:val="left"/>
        <w:rPr>
          <w:rFonts w:hint="eastAsia" w:ascii="宋体" w:hAnsi="宋体"/>
          <w:bCs/>
          <w:sz w:val="24"/>
          <w:szCs w:val="24"/>
          <w:highlight w:val="none"/>
          <w:u w:val="single"/>
        </w:rPr>
      </w:pPr>
      <w:r>
        <w:rPr>
          <w:rFonts w:hint="eastAsia" w:ascii="宋体" w:hAnsi="宋体"/>
          <w:bCs/>
          <w:sz w:val="24"/>
          <w:szCs w:val="24"/>
          <w:highlight w:val="none"/>
        </w:rPr>
        <w:t>1.5工程量：</w:t>
      </w:r>
      <w:r>
        <w:rPr>
          <w:rFonts w:hint="eastAsia" w:ascii="宋体" w:hAnsi="宋体"/>
          <w:bCs/>
          <w:sz w:val="24"/>
          <w:szCs w:val="24"/>
          <w:highlight w:val="none"/>
          <w:u w:val="single"/>
        </w:rPr>
        <w:t>详见招标文件。</w:t>
      </w:r>
    </w:p>
    <w:p w14:paraId="391864A8">
      <w:pPr>
        <w:widowControl/>
        <w:shd w:val="clear" w:color="auto" w:fill="FFFFFF"/>
        <w:spacing w:line="400" w:lineRule="exact"/>
        <w:ind w:firstLine="480" w:firstLineChars="200"/>
        <w:jc w:val="left"/>
        <w:rPr>
          <w:rFonts w:hint="eastAsia" w:ascii="宋体" w:hAnsi="宋体"/>
          <w:bCs/>
          <w:sz w:val="24"/>
          <w:szCs w:val="24"/>
          <w:highlight w:val="none"/>
        </w:rPr>
      </w:pPr>
      <w:r>
        <w:rPr>
          <w:rFonts w:hint="eastAsia" w:ascii="宋体" w:hAnsi="宋体"/>
          <w:bCs/>
          <w:sz w:val="24"/>
          <w:szCs w:val="24"/>
          <w:highlight w:val="none"/>
        </w:rPr>
        <w:t>1.6承包方式：</w:t>
      </w:r>
      <w:r>
        <w:rPr>
          <w:rFonts w:hint="eastAsia" w:ascii="宋体" w:hAnsi="宋体"/>
          <w:bCs/>
          <w:sz w:val="24"/>
          <w:szCs w:val="24"/>
          <w:highlight w:val="none"/>
          <w:u w:val="single"/>
        </w:rPr>
        <w:t>施工总承包（包拆包运），不允许分包。招标人指定的建筑物（含砼基础和构筑物），拆除物残值由中标人处置，拆除完成后要清除地面以上的一切拆除旧材料、垃圾并全部外运、保证场地平整、无废弃物。同时保护好现场道路、地下管线、树木、周边建筑物等。</w:t>
      </w:r>
    </w:p>
    <w:p w14:paraId="14BFA961">
      <w:pPr>
        <w:tabs>
          <w:tab w:val="left" w:pos="1260"/>
        </w:tabs>
        <w:spacing w:line="400" w:lineRule="exact"/>
        <w:jc w:val="left"/>
        <w:rPr>
          <w:rFonts w:hint="eastAsia" w:ascii="宋体" w:hAnsi="宋体"/>
          <w:sz w:val="24"/>
          <w:highlight w:val="none"/>
        </w:rPr>
      </w:pPr>
      <w:r>
        <w:rPr>
          <w:rFonts w:hint="eastAsia" w:ascii="宋体" w:hAnsi="宋体" w:cs="宋体"/>
          <w:b/>
          <w:bCs/>
          <w:sz w:val="24"/>
          <w:szCs w:val="24"/>
          <w:highlight w:val="none"/>
        </w:rPr>
        <w:t>二、合同总金额：</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元</w:t>
      </w:r>
      <w:r>
        <w:rPr>
          <w:rFonts w:hint="eastAsia" w:ascii="宋体" w:hAnsi="宋体"/>
          <w:sz w:val="24"/>
          <w:highlight w:val="none"/>
        </w:rPr>
        <w:t>。（说明：合同总金额</w:t>
      </w:r>
      <w:r>
        <w:rPr>
          <w:rFonts w:hint="eastAsia" w:ascii="宋体" w:hAnsi="宋体" w:cs="宋体"/>
          <w:kern w:val="0"/>
          <w:sz w:val="24"/>
          <w:szCs w:val="24"/>
          <w:highlight w:val="none"/>
        </w:rPr>
        <w:t>是指乙方支付给甲方的价款。</w:t>
      </w:r>
      <w:r>
        <w:rPr>
          <w:rFonts w:hint="eastAsia" w:ascii="宋体" w:hAnsi="宋体"/>
          <w:sz w:val="24"/>
          <w:highlight w:val="none"/>
        </w:rPr>
        <w:t>）</w:t>
      </w:r>
    </w:p>
    <w:p w14:paraId="6BF55362">
      <w:pPr>
        <w:spacing w:line="400" w:lineRule="exact"/>
        <w:ind w:firstLine="482" w:firstLineChars="200"/>
        <w:rPr>
          <w:rFonts w:hint="eastAsia" w:ascii="宋体" w:hAnsi="宋体" w:cs="宋体"/>
          <w:sz w:val="24"/>
          <w:szCs w:val="24"/>
          <w:highlight w:val="none"/>
        </w:rPr>
      </w:pPr>
      <w:r>
        <w:rPr>
          <w:rFonts w:hint="eastAsia" w:ascii="宋体" w:hAnsi="宋体" w:cs="宋体"/>
          <w:b/>
          <w:bCs/>
          <w:sz w:val="24"/>
          <w:highlight w:val="none"/>
        </w:rPr>
        <w:t>合同总金额是乙方作出能够上交的在合同规定的拆迁范围内的所有拆除物的净残值的价款。净残值就是拆下的材料出售收入减去直接拆除成本（含渣土处置费、扬尘费）、风险成本、管理费、利润、税金等以后的剩余价值（并且包含拆除后的垃圾清运、平整、安全等一切费用）</w:t>
      </w:r>
      <w:r>
        <w:rPr>
          <w:rFonts w:hint="eastAsia" w:ascii="宋体" w:hAnsi="宋体" w:cs="宋体"/>
          <w:sz w:val="24"/>
          <w:szCs w:val="24"/>
          <w:highlight w:val="none"/>
        </w:rPr>
        <w:t>。</w:t>
      </w:r>
    </w:p>
    <w:p w14:paraId="4E89E53E">
      <w:pPr>
        <w:spacing w:line="400" w:lineRule="exact"/>
        <w:rPr>
          <w:rFonts w:hint="eastAsia" w:ascii="宋体" w:hAnsi="宋体" w:cs="宋体"/>
          <w:b/>
          <w:kern w:val="0"/>
          <w:sz w:val="24"/>
          <w:szCs w:val="24"/>
          <w:highlight w:val="none"/>
        </w:rPr>
      </w:pPr>
      <w:r>
        <w:rPr>
          <w:rFonts w:hint="eastAsia" w:ascii="宋体" w:hAnsi="宋体" w:cs="宋体"/>
          <w:b/>
          <w:kern w:val="0"/>
          <w:sz w:val="24"/>
          <w:szCs w:val="24"/>
          <w:highlight w:val="none"/>
        </w:rPr>
        <w:t>三、项目质量保证及售后服务要求</w:t>
      </w:r>
    </w:p>
    <w:p w14:paraId="112967D7">
      <w:pPr>
        <w:spacing w:line="400" w:lineRule="exact"/>
        <w:ind w:firstLine="482" w:firstLineChars="200"/>
        <w:rPr>
          <w:rFonts w:hint="eastAsia" w:ascii="宋体" w:hAnsi="宋体" w:cs="宋体"/>
          <w:bCs/>
          <w:kern w:val="0"/>
          <w:sz w:val="24"/>
          <w:szCs w:val="24"/>
          <w:highlight w:val="none"/>
        </w:rPr>
      </w:pPr>
      <w:r>
        <w:rPr>
          <w:rFonts w:hint="eastAsia" w:ascii="宋体" w:hAnsi="宋体" w:cs="宋体"/>
          <w:b/>
          <w:kern w:val="0"/>
          <w:sz w:val="24"/>
          <w:szCs w:val="24"/>
          <w:highlight w:val="none"/>
        </w:rPr>
        <w:t>①工程质量：</w:t>
      </w:r>
      <w:r>
        <w:rPr>
          <w:rFonts w:hint="eastAsia" w:ascii="宋体" w:hAnsi="宋体" w:cs="宋体"/>
          <w:bCs/>
          <w:kern w:val="0"/>
          <w:sz w:val="24"/>
          <w:szCs w:val="24"/>
          <w:highlight w:val="none"/>
        </w:rPr>
        <w:t>指定的拆除建筑物（含砼基础和构筑物），拆除完成后要清除地面以上的一切拆除旧材料、垃圾并全部外运、保证场地平整、无废弃物。同时保护好现场道路和周边建筑物等。</w:t>
      </w:r>
    </w:p>
    <w:p w14:paraId="31E21CFA">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②乙方在施工中做到项目负责人、安全员全程现场管理。</w:t>
      </w:r>
    </w:p>
    <w:p w14:paraId="7FF465CD">
      <w:pPr>
        <w:spacing w:line="40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③乙方负责看护拆除项目用地，杜绝种植、养殖、违章搭建等，直至甲方收回地块。</w:t>
      </w:r>
    </w:p>
    <w:p w14:paraId="0B757670">
      <w:pPr>
        <w:numPr>
          <w:ilvl w:val="0"/>
          <w:numId w:val="1"/>
        </w:numPr>
        <w:spacing w:line="40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工期要求：</w:t>
      </w:r>
      <w:r>
        <w:rPr>
          <w:rFonts w:hint="eastAsia" w:ascii="宋体" w:hAnsi="宋体" w:cs="宋体"/>
          <w:bCs/>
          <w:kern w:val="0"/>
          <w:sz w:val="24"/>
          <w:szCs w:val="24"/>
          <w:highlight w:val="none"/>
          <w:u w:val="single"/>
        </w:rPr>
        <w:t>拆除处置必须在30日历天内完成（含拆除、垃圾清运、处置等一切内容）。</w:t>
      </w:r>
    </w:p>
    <w:p w14:paraId="528F2DC2">
      <w:pPr>
        <w:spacing w:line="40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五、付款条件：</w:t>
      </w:r>
      <w:r>
        <w:rPr>
          <w:rFonts w:hint="eastAsia" w:ascii="宋体" w:hAnsi="宋体" w:cs="宋体"/>
          <w:kern w:val="0"/>
          <w:sz w:val="24"/>
          <w:szCs w:val="24"/>
          <w:highlight w:val="none"/>
        </w:rPr>
        <w:t>签订合同后三日内中标单位按中标总价一次性支付至招标人指定账户。</w:t>
      </w:r>
    </w:p>
    <w:p w14:paraId="32AEEE41">
      <w:pPr>
        <w:spacing w:line="400" w:lineRule="exact"/>
        <w:rPr>
          <w:rFonts w:hint="eastAsia" w:ascii="宋体" w:hAnsi="宋体" w:cs="宋体"/>
          <w:kern w:val="0"/>
          <w:sz w:val="24"/>
          <w:szCs w:val="24"/>
          <w:highlight w:val="none"/>
        </w:rPr>
      </w:pPr>
      <w:r>
        <w:rPr>
          <w:rFonts w:hint="eastAsia" w:ascii="宋体" w:hAnsi="宋体" w:cs="宋体"/>
          <w:kern w:val="0"/>
          <w:sz w:val="24"/>
          <w:szCs w:val="24"/>
          <w:highlight w:val="none"/>
        </w:rPr>
        <w:t>注:招标人可开具13%增值税专用发票。</w:t>
      </w:r>
    </w:p>
    <w:p w14:paraId="619DB308">
      <w:pPr>
        <w:widowControl/>
        <w:spacing w:line="400" w:lineRule="exact"/>
        <w:rPr>
          <w:b/>
          <w:bCs/>
          <w:highlight w:val="none"/>
        </w:rPr>
      </w:pPr>
      <w:r>
        <w:rPr>
          <w:rFonts w:hint="eastAsia" w:ascii="宋体" w:cs="宋体"/>
          <w:b/>
          <w:kern w:val="28"/>
          <w:sz w:val="24"/>
          <w:szCs w:val="24"/>
          <w:highlight w:val="none"/>
        </w:rPr>
        <w:t>六、验收标准：</w:t>
      </w:r>
      <w:r>
        <w:rPr>
          <w:rFonts w:hint="eastAsia" w:ascii="宋体" w:cs="宋体"/>
          <w:bCs/>
          <w:kern w:val="28"/>
          <w:sz w:val="24"/>
          <w:szCs w:val="24"/>
          <w:highlight w:val="none"/>
        </w:rPr>
        <w:t>指定的拆除建筑物（含砼基础和构筑物），拆除完成后要清除地面以上的一切拆除旧材料、垃圾并全部外运、保证场地平整、无废弃物。同时保护好现场道路和周边建筑物等。</w:t>
      </w:r>
    </w:p>
    <w:p w14:paraId="2F93E1C1">
      <w:pPr>
        <w:snapToGrid w:val="0"/>
        <w:spacing w:line="400" w:lineRule="exact"/>
        <w:rPr>
          <w:rFonts w:hint="eastAsia" w:ascii="宋体" w:hAnsi="宋体" w:cs="楷体"/>
          <w:b/>
          <w:bCs/>
          <w:color w:val="000000"/>
          <w:sz w:val="24"/>
          <w:highlight w:val="none"/>
        </w:rPr>
      </w:pPr>
      <w:r>
        <w:rPr>
          <w:rFonts w:hint="eastAsia" w:ascii="宋体" w:hAnsi="宋体" w:cs="楷体"/>
          <w:b/>
          <w:bCs/>
          <w:color w:val="000000"/>
          <w:sz w:val="24"/>
          <w:highlight w:val="none"/>
        </w:rPr>
        <w:t>七、</w:t>
      </w:r>
      <w:r>
        <w:rPr>
          <w:rFonts w:hint="eastAsia" w:ascii="宋体" w:hAnsi="宋体" w:cs="宋体"/>
          <w:b/>
          <w:kern w:val="0"/>
          <w:sz w:val="24"/>
          <w:szCs w:val="24"/>
          <w:highlight w:val="none"/>
        </w:rPr>
        <w:t>项目质量保证及售后服务要求</w:t>
      </w:r>
    </w:p>
    <w:p w14:paraId="52E40885">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承包方式：施工总承包（包拆包运），不允许分包。甲方指定的建筑物（含砼基础和构筑物），拆除物残值由乙方处置，不得在现场处置，必须全部拉走处置。拆除完成后要清除地面以上的一切拆除旧材料、垃圾并全部外运、保证场地平整、无废弃物。同时保护好现场道路、地下管线、树木、周边建筑物等。</w:t>
      </w:r>
    </w:p>
    <w:p w14:paraId="59F988D4">
      <w:pPr>
        <w:spacing w:line="400" w:lineRule="exact"/>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、拆除运输时如损伤道路、渠闸、排水道、地下管线、树木、周边建筑物构筑物等由乙方负责，所有的修复费用或赔偿费用由乙方承担。</w:t>
      </w:r>
    </w:p>
    <w:p w14:paraId="06FFF368">
      <w:pPr>
        <w:spacing w:line="400" w:lineRule="exact"/>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建、构筑物拆除后材料的处理及拆除涉及的人员工资、机械使用费等相关费用均由乙方负责。乙方施工时要确保施工安全，如施工过程中发生人身伤亡事故或其他事故，涉及到安全或质量问题由乙方全权负责。拆除现场要有相关的安全措施（标语、横幅、围挡等），严防不相干人员的随意进出，确保拆除工作安全进行。</w:t>
      </w:r>
      <w:r>
        <w:rPr>
          <w:rFonts w:hint="eastAsia" w:ascii="宋体" w:hAnsi="宋体" w:cs="宋体"/>
          <w:b/>
          <w:bCs/>
          <w:sz w:val="24"/>
          <w:szCs w:val="24"/>
          <w:highlight w:val="none"/>
        </w:rPr>
        <w:t>乙方在进场前须为本项目所有工作人员购买团体意外伤害保险（进场前提供所有人员的保单至甲方备案，每人意外身故、伤残保额不低于100万元。</w:t>
      </w:r>
    </w:p>
    <w:p w14:paraId="5663D842">
      <w:pPr>
        <w:tabs>
          <w:tab w:val="left" w:pos="1260"/>
        </w:tabs>
        <w:spacing w:line="400" w:lineRule="exact"/>
        <w:ind w:firstLine="480" w:firstLineChars="200"/>
        <w:jc w:val="left"/>
        <w:rPr>
          <w:rFonts w:hint="eastAsia" w:ascii="宋体" w:hAnsi="宋体"/>
          <w:sz w:val="24"/>
          <w:highlight w:val="none"/>
        </w:rPr>
      </w:pPr>
      <w:r>
        <w:rPr>
          <w:rFonts w:hint="eastAsia" w:ascii="宋体" w:hAnsi="宋体"/>
          <w:sz w:val="24"/>
          <w:highlight w:val="none"/>
        </w:rPr>
        <w:t>4、指定的拆除建筑物（含砼基础和构筑物），拆除完成后乙方要清除地面以上的一切拆除旧材料、垃圾并全部外运、保证场地平整、无废弃物。同时保护好现场道路和周边建筑物等。</w:t>
      </w:r>
    </w:p>
    <w:p w14:paraId="738D711B">
      <w:pPr>
        <w:spacing w:line="400" w:lineRule="exact"/>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5</w:t>
      </w:r>
      <w:r>
        <w:rPr>
          <w:rFonts w:hint="eastAsia" w:ascii="宋体" w:hAnsi="宋体" w:cs="宋体"/>
          <w:bCs/>
          <w:kern w:val="0"/>
          <w:sz w:val="24"/>
          <w:szCs w:val="24"/>
          <w:highlight w:val="none"/>
        </w:rPr>
        <w:t>、乙方拆除时，必须按照招标人发出的“拆除通知书”中所指定的房屋进行拆除。招标人没有书面指定的不得拆除，如果乙方拆除错误，乙方负全责。</w:t>
      </w:r>
    </w:p>
    <w:p w14:paraId="2A3E0A46">
      <w:pPr>
        <w:snapToGrid w:val="0"/>
        <w:spacing w:line="400" w:lineRule="exact"/>
        <w:rPr>
          <w:rFonts w:ascii="宋体" w:cs="楷体"/>
          <w:b/>
          <w:bCs/>
          <w:sz w:val="24"/>
          <w:highlight w:val="none"/>
        </w:rPr>
      </w:pPr>
      <w:r>
        <w:rPr>
          <w:rFonts w:hint="eastAsia" w:ascii="宋体" w:hAnsi="宋体" w:cs="楷体"/>
          <w:b/>
          <w:bCs/>
          <w:color w:val="000000"/>
          <w:sz w:val="24"/>
          <w:highlight w:val="none"/>
        </w:rPr>
        <w:t>八、结算价款</w:t>
      </w:r>
    </w:p>
    <w:p w14:paraId="2110573E">
      <w:pPr>
        <w:tabs>
          <w:tab w:val="left" w:pos="1260"/>
        </w:tabs>
        <w:spacing w:line="400" w:lineRule="exact"/>
        <w:ind w:firstLine="480" w:firstLineChars="200"/>
        <w:jc w:val="left"/>
        <w:rPr>
          <w:rFonts w:hint="eastAsia" w:ascii="宋体" w:hAnsi="宋体"/>
          <w:sz w:val="24"/>
          <w:highlight w:val="none"/>
        </w:rPr>
      </w:pPr>
      <w:r>
        <w:rPr>
          <w:rFonts w:hint="eastAsia" w:ascii="宋体" w:hAnsi="宋体"/>
          <w:sz w:val="24"/>
          <w:highlight w:val="none"/>
        </w:rPr>
        <w:t>1.乙方需交的旧房及设备设施拆除残值为</w:t>
      </w:r>
      <w:r>
        <w:rPr>
          <w:rFonts w:hint="eastAsia" w:ascii="宋体" w:hAnsi="宋体"/>
          <w:sz w:val="24"/>
          <w:highlight w:val="none"/>
          <w:u w:val="single"/>
        </w:rPr>
        <w:t xml:space="preserve">          </w:t>
      </w:r>
      <w:r>
        <w:rPr>
          <w:rFonts w:hint="eastAsia" w:ascii="宋体" w:hAnsi="宋体"/>
          <w:sz w:val="24"/>
          <w:highlight w:val="none"/>
        </w:rPr>
        <w:t>元，拆除施工工程由乙方负责，拆除材料归乙方所有。乙方所有的人工费、机械费、材料费、施工企业管理费、安全设施费、渣土处理费、保险、税费和劳保等从乙方收入中支出，实行自负盈亏。</w:t>
      </w:r>
    </w:p>
    <w:p w14:paraId="0ADE2E59">
      <w:pPr>
        <w:tabs>
          <w:tab w:val="left" w:pos="1260"/>
        </w:tabs>
        <w:spacing w:line="400" w:lineRule="exact"/>
        <w:ind w:firstLine="480" w:firstLineChars="200"/>
        <w:jc w:val="left"/>
        <w:rPr>
          <w:rFonts w:hint="eastAsia" w:ascii="宋体" w:hAnsi="宋体"/>
          <w:sz w:val="24"/>
          <w:highlight w:val="none"/>
        </w:rPr>
      </w:pPr>
      <w:r>
        <w:rPr>
          <w:rFonts w:hint="eastAsia" w:ascii="宋体" w:hAnsi="宋体"/>
          <w:sz w:val="24"/>
          <w:highlight w:val="none"/>
        </w:rPr>
        <w:t>2.交款时间及方式：签订本合同当日内，乙方须一次性交清残值费为</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w:t>
      </w:r>
    </w:p>
    <w:p w14:paraId="72102F80">
      <w:pPr>
        <w:tabs>
          <w:tab w:val="left" w:pos="1260"/>
        </w:tabs>
        <w:spacing w:line="400" w:lineRule="exact"/>
        <w:jc w:val="left"/>
        <w:rPr>
          <w:rFonts w:hint="eastAsia" w:ascii="宋体" w:hAnsi="宋体"/>
          <w:b/>
          <w:bCs/>
          <w:sz w:val="24"/>
          <w:highlight w:val="none"/>
        </w:rPr>
      </w:pPr>
      <w:r>
        <w:rPr>
          <w:rFonts w:hint="eastAsia" w:ascii="宋体" w:hAnsi="宋体"/>
          <w:b/>
          <w:bCs/>
          <w:sz w:val="24"/>
          <w:highlight w:val="none"/>
        </w:rPr>
        <w:t>九、特别约定</w:t>
      </w:r>
    </w:p>
    <w:p w14:paraId="01503E87">
      <w:pPr>
        <w:pStyle w:val="3"/>
        <w:spacing w:line="400" w:lineRule="exact"/>
        <w:ind w:firstLine="482" w:firstLineChars="200"/>
        <w:rPr>
          <w:rFonts w:hint="eastAsia" w:hAnsi="宋体"/>
          <w:b/>
          <w:bCs/>
          <w:highlight w:val="none"/>
        </w:rPr>
      </w:pPr>
      <w:r>
        <w:rPr>
          <w:rFonts w:hint="eastAsia" w:hAnsi="宋体"/>
          <w:b/>
          <w:bCs/>
          <w:highlight w:val="none"/>
        </w:rPr>
        <w:t>1、工期内甲方未交付拆除的房屋，乙方自行考虑二次拆除机械进场费用。</w:t>
      </w:r>
    </w:p>
    <w:p w14:paraId="14855A8A">
      <w:pPr>
        <w:pStyle w:val="2"/>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2、若工期（30日历天）满后3个月内甲方仍未交付拆除的，根据成交价退还。</w:t>
      </w:r>
    </w:p>
    <w:p w14:paraId="6C60CA9B">
      <w:pPr>
        <w:tabs>
          <w:tab w:val="left" w:pos="1260"/>
        </w:tabs>
        <w:spacing w:line="400" w:lineRule="exact"/>
        <w:jc w:val="left"/>
        <w:rPr>
          <w:rFonts w:hint="eastAsia" w:ascii="宋体" w:hAnsi="宋体"/>
          <w:b/>
          <w:bCs/>
          <w:sz w:val="24"/>
          <w:highlight w:val="none"/>
        </w:rPr>
      </w:pPr>
      <w:r>
        <w:rPr>
          <w:rFonts w:hint="eastAsia" w:ascii="宋体" w:hAnsi="宋体"/>
          <w:b/>
          <w:bCs/>
          <w:sz w:val="24"/>
          <w:highlight w:val="none"/>
        </w:rPr>
        <w:t>十、履约担保</w:t>
      </w:r>
    </w:p>
    <w:p w14:paraId="3F2C7099">
      <w:pPr>
        <w:tabs>
          <w:tab w:val="left" w:pos="1260"/>
        </w:tabs>
        <w:spacing w:line="400" w:lineRule="exact"/>
        <w:ind w:firstLine="480" w:firstLineChars="200"/>
        <w:jc w:val="left"/>
        <w:rPr>
          <w:rFonts w:hint="eastAsia" w:ascii="宋体" w:hAnsi="宋体"/>
          <w:sz w:val="24"/>
          <w:highlight w:val="none"/>
        </w:rPr>
      </w:pPr>
      <w:r>
        <w:rPr>
          <w:rFonts w:hint="eastAsia" w:ascii="宋体" w:hAnsi="宋体"/>
          <w:sz w:val="24"/>
          <w:highlight w:val="none"/>
        </w:rPr>
        <w:t>乙方须在中标通知书发出后3日内，缴纳中标价的10%的履约保证金至甲方指定账户，履约保证金在整个拆除及平整工作全部结束并经甲方验收合格后无息退还。</w:t>
      </w:r>
    </w:p>
    <w:p w14:paraId="71B64216">
      <w:pPr>
        <w:tabs>
          <w:tab w:val="left" w:pos="720"/>
          <w:tab w:val="left" w:pos="1080"/>
        </w:tabs>
        <w:spacing w:line="400" w:lineRule="exact"/>
        <w:ind w:firstLine="480" w:firstLineChars="200"/>
        <w:rPr>
          <w:rFonts w:hint="eastAsia" w:ascii="宋体" w:hAnsi="宋体" w:cs="宋体"/>
          <w:bCs/>
          <w:kern w:val="0"/>
          <w:sz w:val="24"/>
          <w:szCs w:val="24"/>
          <w:highlight w:val="none"/>
        </w:rPr>
      </w:pPr>
      <w:r>
        <w:rPr>
          <w:rFonts w:hint="eastAsia" w:ascii="宋体" w:hAnsi="宋体"/>
          <w:sz w:val="24"/>
          <w:highlight w:val="none"/>
        </w:rPr>
        <w:t>旧房拆除后的所有物资均归乙方所有，乙方承担在旧房拆除过程中所涉及的一切费用。涉及拆除矛盾自行解决，并承担相应的经济、法律责任。所有残值处置必须符合国家法律法规，合法处置。</w:t>
      </w:r>
    </w:p>
    <w:p w14:paraId="48FDE85E">
      <w:pPr>
        <w:autoSpaceDE w:val="0"/>
        <w:autoSpaceDN w:val="0"/>
        <w:adjustRightInd w:val="0"/>
        <w:spacing w:line="460" w:lineRule="exact"/>
        <w:rPr>
          <w:rFonts w:hint="eastAsia" w:ascii="宋体" w:hAnsi="宋体"/>
          <w:b/>
          <w:bCs/>
          <w:sz w:val="24"/>
          <w:szCs w:val="24"/>
          <w:highlight w:val="none"/>
        </w:rPr>
      </w:pPr>
      <w:r>
        <w:rPr>
          <w:rFonts w:hint="eastAsia" w:ascii="宋体" w:hAnsi="宋体"/>
          <w:b/>
          <w:bCs/>
          <w:sz w:val="24"/>
          <w:szCs w:val="24"/>
          <w:highlight w:val="none"/>
        </w:rPr>
        <w:t>十一、关于项目经理及安全员的要求：</w:t>
      </w:r>
    </w:p>
    <w:p w14:paraId="1BB83F01">
      <w:pPr>
        <w:pStyle w:val="2"/>
        <w:spacing w:line="400" w:lineRule="exact"/>
        <w:ind w:firstLine="480" w:firstLineChars="200"/>
        <w:rPr>
          <w:rFonts w:hint="eastAsia" w:ascii="宋体" w:hAnsi="宋体"/>
          <w:sz w:val="24"/>
          <w:highlight w:val="none"/>
        </w:rPr>
      </w:pPr>
      <w:r>
        <w:rPr>
          <w:rFonts w:hint="eastAsia" w:ascii="宋体" w:hAnsi="宋体"/>
          <w:sz w:val="24"/>
          <w:highlight w:val="none"/>
        </w:rPr>
        <w:t>拆除施工期间，项目经理及安全员必须在现场，如有特殊原因须向甲方的现场管理人员请假。甲方将不定期抽查项目经理及安全员在场情况，若发现不在施工现场，处以1000元/次处罚；发现3次以上（含3次），没收履约保证金并且进行整改，若发现仍未整改到位，甲方有权解除合同并不予退还合同款。</w:t>
      </w:r>
    </w:p>
    <w:p w14:paraId="49430E7C">
      <w:pPr>
        <w:spacing w:line="40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十二、</w:t>
      </w:r>
      <w:r>
        <w:rPr>
          <w:rFonts w:hint="eastAsia" w:ascii="宋体" w:hAnsi="宋体"/>
          <w:b/>
          <w:bCs/>
          <w:sz w:val="24"/>
          <w:highlight w:val="none"/>
        </w:rPr>
        <w:t>甲方的权力和义务</w:t>
      </w:r>
      <w:r>
        <w:rPr>
          <w:rFonts w:hint="eastAsia" w:ascii="宋体" w:hAnsi="宋体" w:cs="宋体"/>
          <w:b/>
          <w:bCs/>
          <w:sz w:val="24"/>
          <w:szCs w:val="24"/>
          <w:highlight w:val="none"/>
        </w:rPr>
        <w:t xml:space="preserve">： </w:t>
      </w:r>
      <w:r>
        <w:rPr>
          <w:rFonts w:ascii="宋体" w:hAnsi="宋体" w:cs="宋体"/>
          <w:b/>
          <w:bCs/>
          <w:sz w:val="24"/>
          <w:szCs w:val="24"/>
          <w:highlight w:val="none"/>
        </w:rPr>
        <w:t xml:space="preserve">  </w:t>
      </w:r>
    </w:p>
    <w:p w14:paraId="69552CB6">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1、监督检查工程质量、进度。</w:t>
      </w:r>
    </w:p>
    <w:p w14:paraId="454F8312">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2、协调好相关部门与施工之间的关系。 </w:t>
      </w:r>
    </w:p>
    <w:p w14:paraId="0EA81628">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3、工程竣工后组织工程验收，并按合同约定审定竣工结算。</w:t>
      </w:r>
    </w:p>
    <w:p w14:paraId="07068F20">
      <w:pPr>
        <w:spacing w:line="40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十三、乙方的权力和义务;</w:t>
      </w:r>
    </w:p>
    <w:p w14:paraId="1B01DC73">
      <w:pPr>
        <w:spacing w:line="400" w:lineRule="exact"/>
        <w:ind w:firstLine="480" w:firstLineChars="200"/>
        <w:jc w:val="left"/>
        <w:rPr>
          <w:sz w:val="24"/>
          <w:szCs w:val="22"/>
          <w:highlight w:val="none"/>
        </w:rPr>
      </w:pPr>
      <w:r>
        <w:rPr>
          <w:rFonts w:hint="eastAsia"/>
          <w:sz w:val="24"/>
          <w:szCs w:val="22"/>
          <w:highlight w:val="none"/>
        </w:rPr>
        <w:t>1、乙方负责制定施工方案（施工方案中应包括：施工方法、安全措施、环保措施等主要内容），甲方审核后，乙方应严格按照施工方案组织实施。</w:t>
      </w:r>
    </w:p>
    <w:p w14:paraId="497853D7">
      <w:pPr>
        <w:spacing w:line="400" w:lineRule="exact"/>
        <w:ind w:firstLine="480" w:firstLineChars="200"/>
        <w:jc w:val="left"/>
        <w:rPr>
          <w:sz w:val="24"/>
          <w:szCs w:val="22"/>
          <w:highlight w:val="none"/>
        </w:rPr>
      </w:pPr>
      <w:r>
        <w:rPr>
          <w:rFonts w:hint="eastAsia"/>
          <w:sz w:val="24"/>
          <w:szCs w:val="22"/>
          <w:highlight w:val="none"/>
        </w:rPr>
        <w:t>2、乙方指定</w:t>
      </w:r>
      <w:r>
        <w:rPr>
          <w:rFonts w:hint="eastAsia"/>
          <w:sz w:val="24"/>
          <w:szCs w:val="22"/>
          <w:highlight w:val="none"/>
          <w:u w:val="single"/>
        </w:rPr>
        <w:t xml:space="preserve"> </w:t>
      </w:r>
      <w:r>
        <w:rPr>
          <w:sz w:val="24"/>
          <w:szCs w:val="22"/>
          <w:highlight w:val="none"/>
          <w:u w:val="single"/>
        </w:rPr>
        <w:t xml:space="preserve">       </w:t>
      </w:r>
      <w:r>
        <w:rPr>
          <w:rFonts w:hint="eastAsia"/>
          <w:sz w:val="24"/>
          <w:szCs w:val="22"/>
          <w:highlight w:val="none"/>
        </w:rPr>
        <w:t>为项目经理，并根据项目实施需要，无条件服从甲方有关房屋拆除工作安排，协助甲方做好房屋拆除过程中矛盾和纠纷调处工作。</w:t>
      </w:r>
    </w:p>
    <w:p w14:paraId="2A63355C">
      <w:pPr>
        <w:spacing w:line="400" w:lineRule="exact"/>
        <w:ind w:firstLine="480" w:firstLineChars="200"/>
        <w:jc w:val="left"/>
        <w:rPr>
          <w:sz w:val="24"/>
          <w:szCs w:val="22"/>
          <w:highlight w:val="none"/>
        </w:rPr>
      </w:pPr>
      <w:r>
        <w:rPr>
          <w:sz w:val="24"/>
          <w:szCs w:val="22"/>
          <w:highlight w:val="none"/>
        </w:rPr>
        <w:t>3</w:t>
      </w:r>
      <w:r>
        <w:rPr>
          <w:rFonts w:hint="eastAsia"/>
          <w:sz w:val="24"/>
          <w:szCs w:val="22"/>
          <w:highlight w:val="none"/>
        </w:rPr>
        <w:t>、乙方为参加施工的全体人员购买工伤、人身意外伤害等安全保险。</w:t>
      </w:r>
    </w:p>
    <w:p w14:paraId="7614D645">
      <w:pPr>
        <w:spacing w:line="400" w:lineRule="exact"/>
        <w:ind w:firstLine="480" w:firstLineChars="200"/>
        <w:jc w:val="left"/>
        <w:rPr>
          <w:sz w:val="24"/>
          <w:szCs w:val="22"/>
          <w:highlight w:val="none"/>
        </w:rPr>
      </w:pPr>
      <w:r>
        <w:rPr>
          <w:sz w:val="24"/>
          <w:szCs w:val="22"/>
          <w:highlight w:val="none"/>
        </w:rPr>
        <w:t>4</w:t>
      </w:r>
      <w:r>
        <w:rPr>
          <w:rFonts w:hint="eastAsia"/>
          <w:sz w:val="24"/>
          <w:szCs w:val="22"/>
          <w:highlight w:val="none"/>
        </w:rPr>
        <w:t>、乙方拆除旧房及构筑物后，应清理自然地坪上的建筑垃圾，同时对地坪以下的化粪池等所有设施全面拆除清理到位。拆除过程中产生的渣土、废弃物等一并清理出场，并不得在拆除工地上取土出卖，否则，除扣除保证金外还得接受相关部门的罚款。</w:t>
      </w:r>
    </w:p>
    <w:p w14:paraId="6042BF51">
      <w:pPr>
        <w:spacing w:line="400" w:lineRule="exact"/>
        <w:ind w:firstLine="480" w:firstLineChars="200"/>
        <w:jc w:val="left"/>
        <w:rPr>
          <w:sz w:val="24"/>
          <w:szCs w:val="22"/>
          <w:highlight w:val="none"/>
        </w:rPr>
      </w:pPr>
      <w:r>
        <w:rPr>
          <w:sz w:val="24"/>
          <w:szCs w:val="22"/>
          <w:highlight w:val="none"/>
        </w:rPr>
        <w:t>5</w:t>
      </w:r>
      <w:r>
        <w:rPr>
          <w:rFonts w:hint="eastAsia"/>
          <w:sz w:val="24"/>
          <w:szCs w:val="22"/>
          <w:highlight w:val="none"/>
        </w:rPr>
        <w:t>、乙方在旧房及设备设施拆除过程中务必加强安全防范措施，乙方专职安全人员和拆除技术人员必须管理到位，不得擅自离岗，并向所有进场人员进行安全技术交底，督促拆除人员按章操作。除拆除方案执行外，特别要注意做好路边人流量大的房屋拆除的安全措施，按规定搭设脚手架和挂安全网等。进行拆除的房屋每日至收工时残墙高度不得大于1米。严禁违章操作，确保房屋安全拆除。</w:t>
      </w:r>
    </w:p>
    <w:p w14:paraId="75DBAD42">
      <w:pPr>
        <w:spacing w:line="400" w:lineRule="exact"/>
        <w:ind w:firstLine="480" w:firstLineChars="200"/>
        <w:jc w:val="left"/>
        <w:rPr>
          <w:sz w:val="24"/>
          <w:szCs w:val="22"/>
          <w:highlight w:val="none"/>
        </w:rPr>
      </w:pPr>
      <w:r>
        <w:rPr>
          <w:sz w:val="24"/>
          <w:szCs w:val="22"/>
          <w:highlight w:val="none"/>
        </w:rPr>
        <w:t>6</w:t>
      </w:r>
      <w:r>
        <w:rPr>
          <w:rFonts w:hint="eastAsia"/>
          <w:sz w:val="24"/>
          <w:szCs w:val="22"/>
          <w:highlight w:val="none"/>
        </w:rPr>
        <w:t>、乙方应保护拆房区域及周围地上地下的电力、通讯、给排水设施，严禁擅自处理。</w:t>
      </w:r>
    </w:p>
    <w:p w14:paraId="20895D8A">
      <w:pPr>
        <w:spacing w:line="400" w:lineRule="exact"/>
        <w:ind w:firstLine="480" w:firstLineChars="200"/>
        <w:jc w:val="left"/>
        <w:rPr>
          <w:sz w:val="24"/>
          <w:szCs w:val="22"/>
          <w:highlight w:val="none"/>
        </w:rPr>
      </w:pPr>
      <w:r>
        <w:rPr>
          <w:sz w:val="24"/>
          <w:szCs w:val="22"/>
          <w:highlight w:val="none"/>
        </w:rPr>
        <w:t>7</w:t>
      </w:r>
      <w:r>
        <w:rPr>
          <w:rFonts w:hint="eastAsia"/>
          <w:sz w:val="24"/>
          <w:szCs w:val="22"/>
          <w:highlight w:val="none"/>
        </w:rPr>
        <w:t>、乙方在旧房及设备设施的拆除过程中，必须接受甲方和有关部门的检查和监督。甲方发现乙方违反合同约定，有权解除合同。</w:t>
      </w:r>
    </w:p>
    <w:p w14:paraId="345248A6">
      <w:pPr>
        <w:spacing w:line="400" w:lineRule="exact"/>
        <w:ind w:firstLine="480" w:firstLineChars="200"/>
        <w:jc w:val="left"/>
        <w:rPr>
          <w:sz w:val="24"/>
          <w:szCs w:val="22"/>
          <w:highlight w:val="none"/>
        </w:rPr>
      </w:pPr>
      <w:r>
        <w:rPr>
          <w:sz w:val="24"/>
          <w:szCs w:val="22"/>
          <w:highlight w:val="none"/>
        </w:rPr>
        <w:t>8</w:t>
      </w:r>
      <w:r>
        <w:rPr>
          <w:rFonts w:hint="eastAsia"/>
          <w:sz w:val="24"/>
          <w:szCs w:val="22"/>
          <w:highlight w:val="none"/>
        </w:rPr>
        <w:t>、乙方在旧房及设备设施拆除过程中产生的所有安全事故（含意外风险事故）以及因事故引发的经济纠纷和法律责任全部由乙方自己承担，与甲方无关。</w:t>
      </w:r>
    </w:p>
    <w:p w14:paraId="7D9499AE">
      <w:pPr>
        <w:spacing w:line="400" w:lineRule="exact"/>
        <w:ind w:firstLine="480" w:firstLineChars="200"/>
        <w:jc w:val="left"/>
        <w:rPr>
          <w:sz w:val="24"/>
          <w:szCs w:val="22"/>
          <w:highlight w:val="none"/>
        </w:rPr>
      </w:pPr>
      <w:r>
        <w:rPr>
          <w:sz w:val="24"/>
          <w:szCs w:val="22"/>
          <w:highlight w:val="none"/>
        </w:rPr>
        <w:t>9</w:t>
      </w:r>
      <w:r>
        <w:rPr>
          <w:rFonts w:hint="eastAsia"/>
          <w:sz w:val="24"/>
          <w:szCs w:val="22"/>
          <w:highlight w:val="none"/>
        </w:rPr>
        <w:t>、乙方不得转包合同，否则解除合同，并承担相应的法律责任。</w:t>
      </w:r>
    </w:p>
    <w:p w14:paraId="7A6F6F64">
      <w:pPr>
        <w:spacing w:line="400" w:lineRule="exact"/>
        <w:ind w:firstLine="480" w:firstLineChars="200"/>
        <w:jc w:val="left"/>
        <w:rPr>
          <w:sz w:val="24"/>
          <w:szCs w:val="22"/>
          <w:highlight w:val="none"/>
        </w:rPr>
      </w:pPr>
      <w:r>
        <w:rPr>
          <w:rFonts w:hint="eastAsia"/>
          <w:sz w:val="24"/>
          <w:szCs w:val="22"/>
          <w:highlight w:val="none"/>
        </w:rPr>
        <w:t>1</w:t>
      </w:r>
      <w:r>
        <w:rPr>
          <w:sz w:val="24"/>
          <w:szCs w:val="22"/>
          <w:highlight w:val="none"/>
        </w:rPr>
        <w:t>0</w:t>
      </w:r>
      <w:r>
        <w:rPr>
          <w:rFonts w:hint="eastAsia"/>
          <w:sz w:val="24"/>
          <w:szCs w:val="22"/>
          <w:highlight w:val="none"/>
        </w:rPr>
        <w:t>、乙方在拆除过程中应当遵纪守法、文明施工，注意保护环境，注意安全。不得挖运出售标段地块内的泥土。一经发现由乙方负责赔偿，并视情节交由公安机关处罚。</w:t>
      </w:r>
    </w:p>
    <w:p w14:paraId="1EA63157">
      <w:pPr>
        <w:spacing w:line="400" w:lineRule="exact"/>
        <w:ind w:firstLine="480" w:firstLineChars="200"/>
        <w:jc w:val="left"/>
        <w:rPr>
          <w:sz w:val="24"/>
          <w:szCs w:val="22"/>
          <w:highlight w:val="none"/>
        </w:rPr>
      </w:pPr>
      <w:r>
        <w:rPr>
          <w:rFonts w:hint="eastAsia"/>
          <w:sz w:val="24"/>
          <w:szCs w:val="22"/>
          <w:highlight w:val="none"/>
        </w:rPr>
        <w:t>1</w:t>
      </w:r>
      <w:r>
        <w:rPr>
          <w:sz w:val="24"/>
          <w:szCs w:val="22"/>
          <w:highlight w:val="none"/>
        </w:rPr>
        <w:t>1</w:t>
      </w:r>
      <w:r>
        <w:rPr>
          <w:rFonts w:hint="eastAsia"/>
          <w:sz w:val="24"/>
          <w:szCs w:val="22"/>
          <w:highlight w:val="none"/>
        </w:rPr>
        <w:t>、甲方将标段内的建筑物交给乙方后，由乙方自行看护，如有损失，甲方概不负责。</w:t>
      </w:r>
    </w:p>
    <w:p w14:paraId="5120547E">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2</w:t>
      </w:r>
      <w:r>
        <w:rPr>
          <w:rFonts w:hint="eastAsia" w:ascii="宋体" w:hAnsi="宋体" w:cs="宋体"/>
          <w:sz w:val="24"/>
          <w:szCs w:val="24"/>
          <w:highlight w:val="none"/>
        </w:rPr>
        <w:t xml:space="preserve">、乙方未经甲方书面同意，不得将本工程转让或分包其他单位，否则甲方有权终止合同。 </w:t>
      </w:r>
    </w:p>
    <w:p w14:paraId="2A9C1ACE">
      <w:pPr>
        <w:spacing w:line="400" w:lineRule="exact"/>
        <w:rPr>
          <w:rFonts w:hint="eastAsia" w:ascii="宋体" w:hAnsi="宋体" w:cs="宋体"/>
          <w:sz w:val="24"/>
          <w:szCs w:val="24"/>
          <w:highlight w:val="none"/>
        </w:rPr>
      </w:pPr>
      <w:r>
        <w:rPr>
          <w:rFonts w:hint="eastAsia" w:ascii="宋体" w:hAnsi="宋体" w:cs="宋体"/>
          <w:b/>
          <w:bCs/>
          <w:sz w:val="24"/>
          <w:szCs w:val="24"/>
          <w:highlight w:val="none"/>
        </w:rPr>
        <w:t>十四、违约责任：</w:t>
      </w:r>
      <w:r>
        <w:rPr>
          <w:rFonts w:hint="eastAsia" w:ascii="宋体" w:hAnsi="宋体" w:cs="宋体"/>
          <w:sz w:val="24"/>
          <w:szCs w:val="24"/>
          <w:highlight w:val="none"/>
        </w:rPr>
        <w:t>任何一方违约,均须依照下列约定向对方支付违约金。</w:t>
      </w:r>
    </w:p>
    <w:p w14:paraId="304FED5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sz w:val="24"/>
          <w:highlight w:val="none"/>
        </w:rPr>
        <w:t>在本工程实施过程中，如工期进度严重脱节时，甲方有权终止合同，</w:t>
      </w:r>
      <w:r>
        <w:rPr>
          <w:rFonts w:hint="eastAsia" w:ascii="宋体" w:hAnsi="宋体" w:cs="宋体"/>
          <w:sz w:val="24"/>
          <w:highlight w:val="none"/>
        </w:rPr>
        <w:t>由此造成的直接损失和间接损失由乙方赔偿</w:t>
      </w:r>
      <w:r>
        <w:rPr>
          <w:rFonts w:hint="eastAsia" w:ascii="宋体" w:hAnsi="宋体" w:cs="楷体"/>
          <w:color w:val="000000"/>
          <w:kern w:val="0"/>
          <w:sz w:val="24"/>
          <w:highlight w:val="none"/>
        </w:rPr>
        <w:t>。</w:t>
      </w:r>
    </w:p>
    <w:p w14:paraId="29FE5F0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楷体"/>
          <w:color w:val="000000"/>
          <w:kern w:val="0"/>
          <w:sz w:val="24"/>
          <w:highlight w:val="none"/>
        </w:rPr>
        <w:t>若因乙方自身原因，不能按按期完工的，每延迟一天，乙方需支付违约金1000元；逾期十天以上的，甲方有权解除合同，并不退还任何费用，且有权要求乙方赔偿损失。</w:t>
      </w:r>
    </w:p>
    <w:p w14:paraId="3B6529AE">
      <w:pPr>
        <w:pStyle w:val="2"/>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3、合同生效后，乙方有下列行为之一的，甲方有权解除合同，并不退还乙方已支付的合同金额以此补偿甲方因此遭受的一切损失：</w:t>
      </w:r>
    </w:p>
    <w:p w14:paraId="1ABE756D">
      <w:pPr>
        <w:pStyle w:val="2"/>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① 因乙方的违约行为致使本合同无法继续履行，甲方解除合同的； </w:t>
      </w:r>
    </w:p>
    <w:p w14:paraId="768C3C44">
      <w:pPr>
        <w:pStyle w:val="2"/>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② 乙方要求终止或解除合同的；</w:t>
      </w:r>
    </w:p>
    <w:p w14:paraId="422165F7">
      <w:pPr>
        <w:pStyle w:val="2"/>
        <w:spacing w:line="400" w:lineRule="exact"/>
        <w:ind w:firstLine="480" w:firstLineChars="200"/>
        <w:rPr>
          <w:highlight w:val="none"/>
        </w:rPr>
      </w:pPr>
      <w:r>
        <w:rPr>
          <w:rFonts w:hint="eastAsia" w:ascii="宋体" w:hAnsi="宋体"/>
          <w:sz w:val="24"/>
          <w:szCs w:val="24"/>
          <w:highlight w:val="none"/>
        </w:rPr>
        <w:t>③乙方交付的项目成果不符合合同约定或者无法通过验收的。</w:t>
      </w:r>
    </w:p>
    <w:p w14:paraId="77EAFDDC">
      <w:pPr>
        <w:pStyle w:val="2"/>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4、建筑垃圾、现场拆除物全部由乙方清运，拆除物残值由乙方处置，拆除完成后要清除地面以上的一切拆除旧材料、垃圾并全部外运、保证场地平整、无废弃物。同时保护好现场道路、地下管线、树木、周边建筑物等。否则没收投标保证金（履约保证金）。</w:t>
      </w:r>
    </w:p>
    <w:p w14:paraId="5D0CFD85">
      <w:pPr>
        <w:pStyle w:val="2"/>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5、拆除过程中乱堆乱放、扬尘等处理不善导致的行政处罚由乙方自行承担。</w:t>
      </w:r>
    </w:p>
    <w:p w14:paraId="514DA6C3">
      <w:pPr>
        <w:spacing w:line="400" w:lineRule="exact"/>
        <w:rPr>
          <w:rFonts w:hint="eastAsia" w:ascii="宋体" w:hAnsi="宋体" w:cs="宋体"/>
          <w:sz w:val="24"/>
          <w:szCs w:val="24"/>
          <w:highlight w:val="none"/>
        </w:rPr>
      </w:pPr>
      <w:r>
        <w:rPr>
          <w:rFonts w:hint="eastAsia" w:ascii="宋体" w:hAnsi="宋体" w:cs="宋体"/>
          <w:b/>
          <w:bCs/>
          <w:sz w:val="24"/>
          <w:szCs w:val="24"/>
          <w:highlight w:val="none"/>
        </w:rPr>
        <w:t>十五、合同纠纷处理：</w:t>
      </w:r>
      <w:r>
        <w:rPr>
          <w:rFonts w:hint="eastAsia" w:ascii="宋体" w:hAnsi="宋体" w:cs="宋体"/>
          <w:kern w:val="0"/>
          <w:sz w:val="24"/>
          <w:szCs w:val="24"/>
          <w:highlight w:val="none"/>
        </w:rPr>
        <w:t>本合同执行过程中发生纠纷，由供需双方协商解决；或提交当地相关部门调解；协商或调解不成,则任何一方均可以依法向需方所在地人民法院提起诉讼。</w:t>
      </w:r>
    </w:p>
    <w:p w14:paraId="359E6AF0">
      <w:pPr>
        <w:autoSpaceDE w:val="0"/>
        <w:autoSpaceDN w:val="0"/>
        <w:adjustRightInd w:val="0"/>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十六、组成本合同的文件包括：</w:t>
      </w:r>
    </w:p>
    <w:p w14:paraId="5CA6CE93">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1.本合同条款；</w:t>
      </w:r>
    </w:p>
    <w:p w14:paraId="1B7BAC19">
      <w:pPr>
        <w:spacing w:line="400" w:lineRule="exact"/>
        <w:ind w:firstLine="480" w:firstLineChars="200"/>
        <w:rPr>
          <w:rFonts w:hint="eastAsia" w:ascii="宋体" w:hAnsi="宋体" w:cs="宋体"/>
          <w:sz w:val="24"/>
          <w:szCs w:val="24"/>
          <w:highlight w:val="none"/>
        </w:rPr>
      </w:pPr>
      <w:bookmarkStart w:id="8" w:name="_Hlk65425978"/>
      <w:r>
        <w:rPr>
          <w:rFonts w:hint="eastAsia" w:ascii="宋体" w:hAnsi="宋体" w:cs="宋体"/>
          <w:sz w:val="24"/>
          <w:szCs w:val="24"/>
          <w:highlight w:val="none"/>
        </w:rPr>
        <w:t>2.本项目的政府采购文件和供方应标文件；</w:t>
      </w:r>
    </w:p>
    <w:p w14:paraId="56CCF8C1">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3.本项目在采购过程中供需双方签署的全部文字和图片资料；</w:t>
      </w:r>
    </w:p>
    <w:p w14:paraId="670E2E32">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4.供需双方其它按规定约定事宜。</w:t>
      </w:r>
    </w:p>
    <w:bookmarkEnd w:id="8"/>
    <w:p w14:paraId="0F0A904C">
      <w:pPr>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十七、本合同未尽事宜，双方协商解决或按照法律规定。</w:t>
      </w:r>
    </w:p>
    <w:p w14:paraId="6C99645A">
      <w:pPr>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十八、合同生效：本合同由供需双方签字盖章后生效。</w:t>
      </w:r>
    </w:p>
    <w:p w14:paraId="7AF08AB1">
      <w:pPr>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十九、合同见证备案：本合同一式捌份，甲、乙双方各执三份，区公共资源交易中心、财政局各留存一份。</w:t>
      </w:r>
    </w:p>
    <w:p w14:paraId="79BC8548">
      <w:pPr>
        <w:spacing w:line="360" w:lineRule="auto"/>
        <w:rPr>
          <w:rFonts w:hint="eastAsia" w:ascii="宋体" w:hAnsi="宋体" w:cs="宋体"/>
          <w:sz w:val="24"/>
          <w:szCs w:val="24"/>
          <w:highlight w:val="none"/>
        </w:rPr>
      </w:pPr>
    </w:p>
    <w:p w14:paraId="751D5DD3">
      <w:pPr>
        <w:spacing w:line="360" w:lineRule="auto"/>
        <w:rPr>
          <w:rFonts w:hint="eastAsia" w:ascii="宋体" w:hAnsi="宋体" w:cs="宋体"/>
          <w:sz w:val="24"/>
          <w:szCs w:val="24"/>
          <w:highlight w:val="none"/>
        </w:rPr>
      </w:pPr>
    </w:p>
    <w:p w14:paraId="3E582EE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甲方（需方）（盖章）：                 乙方（供方）（盖章）：</w:t>
      </w:r>
    </w:p>
    <w:p w14:paraId="3959B95E">
      <w:pPr>
        <w:spacing w:line="360" w:lineRule="auto"/>
        <w:rPr>
          <w:rFonts w:hint="eastAsia" w:ascii="宋体" w:hAnsi="宋体" w:cs="宋体"/>
          <w:sz w:val="24"/>
          <w:szCs w:val="24"/>
          <w:highlight w:val="none"/>
        </w:rPr>
      </w:pPr>
      <w:r>
        <w:rPr>
          <w:rFonts w:hint="eastAsia" w:ascii="宋体" w:hAnsi="宋体" w:cs="宋体"/>
          <w:sz w:val="24"/>
          <w:szCs w:val="24"/>
          <w:highlight w:val="none"/>
        </w:rPr>
        <w:t>地址：                                 地址：</w:t>
      </w:r>
    </w:p>
    <w:p w14:paraId="024B04B6">
      <w:pPr>
        <w:spacing w:line="360" w:lineRule="auto"/>
        <w:rPr>
          <w:rFonts w:hint="eastAsia" w:ascii="宋体" w:hAnsi="宋体" w:cs="宋体"/>
          <w:sz w:val="24"/>
          <w:szCs w:val="24"/>
          <w:highlight w:val="none"/>
        </w:rPr>
      </w:pPr>
      <w:r>
        <w:rPr>
          <w:rFonts w:hint="eastAsia" w:ascii="宋体" w:hAnsi="宋体" w:cs="宋体"/>
          <w:sz w:val="24"/>
          <w:szCs w:val="24"/>
          <w:highlight w:val="none"/>
        </w:rPr>
        <w:t>法定（授权）代表人：                   法定代表人：</w:t>
      </w:r>
    </w:p>
    <w:p w14:paraId="497126E5">
      <w:pPr>
        <w:spacing w:line="360" w:lineRule="auto"/>
        <w:ind w:firstLine="4800" w:firstLineChars="2000"/>
        <w:rPr>
          <w:rFonts w:hint="eastAsia" w:ascii="宋体" w:hAnsi="宋体" w:cs="宋体"/>
          <w:sz w:val="24"/>
          <w:szCs w:val="24"/>
          <w:highlight w:val="none"/>
          <w:u w:val="single"/>
        </w:rPr>
      </w:pPr>
      <w:r>
        <w:rPr>
          <w:rFonts w:hint="eastAsia" w:ascii="宋体" w:hAnsi="宋体" w:cs="宋体"/>
          <w:sz w:val="24"/>
          <w:szCs w:val="24"/>
          <w:highlight w:val="none"/>
        </w:rPr>
        <w:t>开户银行：</w:t>
      </w:r>
    </w:p>
    <w:p w14:paraId="53B94C58">
      <w:pPr>
        <w:spacing w:line="360" w:lineRule="auto"/>
        <w:ind w:firstLine="4800" w:firstLineChars="2000"/>
        <w:rPr>
          <w:rFonts w:hint="eastAsia" w:ascii="宋体" w:hAnsi="宋体" w:cs="宋体"/>
          <w:sz w:val="24"/>
          <w:szCs w:val="24"/>
          <w:highlight w:val="none"/>
          <w:u w:val="single"/>
        </w:rPr>
      </w:pPr>
      <w:r>
        <w:rPr>
          <w:rFonts w:hint="eastAsia" w:ascii="宋体" w:hAnsi="宋体" w:cs="宋体"/>
          <w:sz w:val="24"/>
          <w:szCs w:val="24"/>
          <w:highlight w:val="none"/>
        </w:rPr>
        <w:t>账号：</w:t>
      </w:r>
    </w:p>
    <w:p w14:paraId="7D4FA521">
      <w:pPr>
        <w:spacing w:line="360" w:lineRule="auto"/>
        <w:rPr>
          <w:rFonts w:hint="eastAsia" w:hAnsi="宋体"/>
          <w:szCs w:val="21"/>
          <w:highlight w:val="none"/>
        </w:rPr>
      </w:pPr>
      <w:r>
        <w:rPr>
          <w:rFonts w:hint="eastAsia" w:ascii="宋体" w:hAnsi="宋体" w:cs="宋体"/>
          <w:b/>
          <w:sz w:val="24"/>
          <w:szCs w:val="24"/>
          <w:highlight w:val="none"/>
        </w:rPr>
        <w:t>见证方（盖章）</w:t>
      </w:r>
      <w:r>
        <w:rPr>
          <w:rFonts w:hint="eastAsia" w:ascii="宋体" w:hAnsi="宋体" w:cs="宋体"/>
          <w:b/>
          <w:sz w:val="24"/>
          <w:szCs w:val="24"/>
          <w:highlight w:val="none"/>
          <w:u w:val="single"/>
        </w:rPr>
        <w:t xml:space="preserve">：                  </w:t>
      </w:r>
    </w:p>
    <w:sectPr>
      <w:footerReference r:id="rId3" w:type="default"/>
      <w:footerReference r:id="rId4" w:type="even"/>
      <w:pgSz w:w="11906" w:h="16838"/>
      <w:pgMar w:top="1247" w:right="1417" w:bottom="1440" w:left="141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ourceHanSansCN-Regular">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1A24">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14:paraId="565991E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175C">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14:paraId="01D82A6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439D3"/>
    <w:multiLevelType w:val="singleLevel"/>
    <w:tmpl w:val="9D7439D3"/>
    <w:lvl w:ilvl="0" w:tentative="0">
      <w:start w:val="2"/>
      <w:numFmt w:val="chineseCounting"/>
      <w:suff w:val="nothing"/>
      <w:lvlText w:val="%1、"/>
      <w:lvlJc w:val="left"/>
      <w:rPr>
        <w:rFonts w:hint="eastAsia"/>
      </w:rPr>
    </w:lvl>
  </w:abstractNum>
  <w:abstractNum w:abstractNumId="1">
    <w:nsid w:val="326C9000"/>
    <w:multiLevelType w:val="singleLevel"/>
    <w:tmpl w:val="326C90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TA3MDM0YmFjYTE2N2Q3OWYyMmE4MmViNDI0ZmYifQ=="/>
  </w:docVars>
  <w:rsids>
    <w:rsidRoot w:val="00172A27"/>
    <w:rsid w:val="00005AE6"/>
    <w:rsid w:val="000143EC"/>
    <w:rsid w:val="00017286"/>
    <w:rsid w:val="00027D44"/>
    <w:rsid w:val="000308CF"/>
    <w:rsid w:val="00030E48"/>
    <w:rsid w:val="00051A48"/>
    <w:rsid w:val="00062556"/>
    <w:rsid w:val="00071B49"/>
    <w:rsid w:val="000752F8"/>
    <w:rsid w:val="00093E0A"/>
    <w:rsid w:val="000B1735"/>
    <w:rsid w:val="000C62DE"/>
    <w:rsid w:val="000D1FE7"/>
    <w:rsid w:val="000D4CA5"/>
    <w:rsid w:val="000D711F"/>
    <w:rsid w:val="000E0A6B"/>
    <w:rsid w:val="000E4EC4"/>
    <w:rsid w:val="000F7D61"/>
    <w:rsid w:val="00105441"/>
    <w:rsid w:val="00111B44"/>
    <w:rsid w:val="00112D28"/>
    <w:rsid w:val="00114B64"/>
    <w:rsid w:val="00121544"/>
    <w:rsid w:val="001244D5"/>
    <w:rsid w:val="00124E71"/>
    <w:rsid w:val="00126D03"/>
    <w:rsid w:val="0013383B"/>
    <w:rsid w:val="0013586A"/>
    <w:rsid w:val="0014013C"/>
    <w:rsid w:val="00140514"/>
    <w:rsid w:val="0015268F"/>
    <w:rsid w:val="001576CC"/>
    <w:rsid w:val="00163643"/>
    <w:rsid w:val="00167CF1"/>
    <w:rsid w:val="00167FC8"/>
    <w:rsid w:val="00171BB7"/>
    <w:rsid w:val="00172A27"/>
    <w:rsid w:val="001769D0"/>
    <w:rsid w:val="0018552C"/>
    <w:rsid w:val="001911AD"/>
    <w:rsid w:val="001961C9"/>
    <w:rsid w:val="0019688C"/>
    <w:rsid w:val="001A45CE"/>
    <w:rsid w:val="001A4D74"/>
    <w:rsid w:val="001A52EE"/>
    <w:rsid w:val="001B1AF8"/>
    <w:rsid w:val="001B3484"/>
    <w:rsid w:val="001B3650"/>
    <w:rsid w:val="001D60A3"/>
    <w:rsid w:val="001D71BA"/>
    <w:rsid w:val="001E6124"/>
    <w:rsid w:val="001F29CC"/>
    <w:rsid w:val="001F461B"/>
    <w:rsid w:val="001F4E57"/>
    <w:rsid w:val="001F5F08"/>
    <w:rsid w:val="002064FB"/>
    <w:rsid w:val="00207BFE"/>
    <w:rsid w:val="0021393B"/>
    <w:rsid w:val="00214C6F"/>
    <w:rsid w:val="00222F06"/>
    <w:rsid w:val="0023147C"/>
    <w:rsid w:val="00241E4E"/>
    <w:rsid w:val="002512D3"/>
    <w:rsid w:val="0025253D"/>
    <w:rsid w:val="00265319"/>
    <w:rsid w:val="00272262"/>
    <w:rsid w:val="00280F4E"/>
    <w:rsid w:val="0028783E"/>
    <w:rsid w:val="002A5F17"/>
    <w:rsid w:val="002B0818"/>
    <w:rsid w:val="002B41F8"/>
    <w:rsid w:val="002C6505"/>
    <w:rsid w:val="002D0AA7"/>
    <w:rsid w:val="002D4E28"/>
    <w:rsid w:val="002E79F0"/>
    <w:rsid w:val="00305BED"/>
    <w:rsid w:val="00305EBA"/>
    <w:rsid w:val="00306421"/>
    <w:rsid w:val="0031249C"/>
    <w:rsid w:val="00330E29"/>
    <w:rsid w:val="00331E84"/>
    <w:rsid w:val="00336707"/>
    <w:rsid w:val="003452C9"/>
    <w:rsid w:val="00370572"/>
    <w:rsid w:val="003731CA"/>
    <w:rsid w:val="00373FFA"/>
    <w:rsid w:val="00397671"/>
    <w:rsid w:val="003A339D"/>
    <w:rsid w:val="003A39ED"/>
    <w:rsid w:val="003A536D"/>
    <w:rsid w:val="003B0D31"/>
    <w:rsid w:val="003B271A"/>
    <w:rsid w:val="003B2CED"/>
    <w:rsid w:val="003B378B"/>
    <w:rsid w:val="003C4222"/>
    <w:rsid w:val="003C4656"/>
    <w:rsid w:val="003C5220"/>
    <w:rsid w:val="003C5AC1"/>
    <w:rsid w:val="003C7E99"/>
    <w:rsid w:val="003D4755"/>
    <w:rsid w:val="003E6D61"/>
    <w:rsid w:val="003F64DC"/>
    <w:rsid w:val="004044B3"/>
    <w:rsid w:val="0040568F"/>
    <w:rsid w:val="004067E1"/>
    <w:rsid w:val="00416AD1"/>
    <w:rsid w:val="004221DE"/>
    <w:rsid w:val="00445CD3"/>
    <w:rsid w:val="00462673"/>
    <w:rsid w:val="004658D3"/>
    <w:rsid w:val="004674F5"/>
    <w:rsid w:val="00483BBB"/>
    <w:rsid w:val="0048437F"/>
    <w:rsid w:val="004A1E68"/>
    <w:rsid w:val="004A2B37"/>
    <w:rsid w:val="004B4936"/>
    <w:rsid w:val="004B4A25"/>
    <w:rsid w:val="004B6A2B"/>
    <w:rsid w:val="004C0521"/>
    <w:rsid w:val="004C08CD"/>
    <w:rsid w:val="004C4DC7"/>
    <w:rsid w:val="004D1D11"/>
    <w:rsid w:val="004D27D3"/>
    <w:rsid w:val="004E587C"/>
    <w:rsid w:val="004E6868"/>
    <w:rsid w:val="00500E5A"/>
    <w:rsid w:val="0051139B"/>
    <w:rsid w:val="005116C0"/>
    <w:rsid w:val="00513751"/>
    <w:rsid w:val="005214E6"/>
    <w:rsid w:val="00525BB2"/>
    <w:rsid w:val="0052688A"/>
    <w:rsid w:val="00526C07"/>
    <w:rsid w:val="00526EC3"/>
    <w:rsid w:val="005442AA"/>
    <w:rsid w:val="00547E82"/>
    <w:rsid w:val="00577023"/>
    <w:rsid w:val="005771A3"/>
    <w:rsid w:val="00580B62"/>
    <w:rsid w:val="00580DCE"/>
    <w:rsid w:val="005825E8"/>
    <w:rsid w:val="00585C44"/>
    <w:rsid w:val="00592E54"/>
    <w:rsid w:val="00593408"/>
    <w:rsid w:val="0059747C"/>
    <w:rsid w:val="00597EAE"/>
    <w:rsid w:val="005A28EE"/>
    <w:rsid w:val="005A5367"/>
    <w:rsid w:val="005B0302"/>
    <w:rsid w:val="005B49B1"/>
    <w:rsid w:val="005B7726"/>
    <w:rsid w:val="005C0D9D"/>
    <w:rsid w:val="005C18DA"/>
    <w:rsid w:val="005D7C4B"/>
    <w:rsid w:val="005E48EA"/>
    <w:rsid w:val="005F5406"/>
    <w:rsid w:val="00621B71"/>
    <w:rsid w:val="00645B9C"/>
    <w:rsid w:val="00647111"/>
    <w:rsid w:val="00654C08"/>
    <w:rsid w:val="006831B5"/>
    <w:rsid w:val="006848DF"/>
    <w:rsid w:val="0069330D"/>
    <w:rsid w:val="0069384F"/>
    <w:rsid w:val="0069520C"/>
    <w:rsid w:val="006961F2"/>
    <w:rsid w:val="006B78A1"/>
    <w:rsid w:val="006C2BF6"/>
    <w:rsid w:val="006C309F"/>
    <w:rsid w:val="006C3402"/>
    <w:rsid w:val="006D1F71"/>
    <w:rsid w:val="006D62F6"/>
    <w:rsid w:val="006E4A03"/>
    <w:rsid w:val="006F22FC"/>
    <w:rsid w:val="007042FB"/>
    <w:rsid w:val="007059BF"/>
    <w:rsid w:val="007070AB"/>
    <w:rsid w:val="007124FE"/>
    <w:rsid w:val="00714786"/>
    <w:rsid w:val="00714B4D"/>
    <w:rsid w:val="00722FD1"/>
    <w:rsid w:val="00730467"/>
    <w:rsid w:val="007310B6"/>
    <w:rsid w:val="007336C6"/>
    <w:rsid w:val="007431EC"/>
    <w:rsid w:val="0074583F"/>
    <w:rsid w:val="0075086E"/>
    <w:rsid w:val="007512BD"/>
    <w:rsid w:val="007607FF"/>
    <w:rsid w:val="007617FF"/>
    <w:rsid w:val="00762672"/>
    <w:rsid w:val="00767CE0"/>
    <w:rsid w:val="00782669"/>
    <w:rsid w:val="0078711A"/>
    <w:rsid w:val="00787527"/>
    <w:rsid w:val="007935E3"/>
    <w:rsid w:val="007A1976"/>
    <w:rsid w:val="007A3ED7"/>
    <w:rsid w:val="007A41F2"/>
    <w:rsid w:val="007B7906"/>
    <w:rsid w:val="007C00C9"/>
    <w:rsid w:val="007D0655"/>
    <w:rsid w:val="007D0EF3"/>
    <w:rsid w:val="007D1EE1"/>
    <w:rsid w:val="007D564F"/>
    <w:rsid w:val="007D75FD"/>
    <w:rsid w:val="007E4E52"/>
    <w:rsid w:val="007E7CAD"/>
    <w:rsid w:val="007F6BB9"/>
    <w:rsid w:val="007F7A8B"/>
    <w:rsid w:val="00800216"/>
    <w:rsid w:val="00801A23"/>
    <w:rsid w:val="00806A0E"/>
    <w:rsid w:val="00807544"/>
    <w:rsid w:val="00822AEC"/>
    <w:rsid w:val="00826F9C"/>
    <w:rsid w:val="008274B0"/>
    <w:rsid w:val="00831C7C"/>
    <w:rsid w:val="008323A1"/>
    <w:rsid w:val="008354D3"/>
    <w:rsid w:val="00841496"/>
    <w:rsid w:val="008437ED"/>
    <w:rsid w:val="00860633"/>
    <w:rsid w:val="008720B4"/>
    <w:rsid w:val="00875218"/>
    <w:rsid w:val="0087758A"/>
    <w:rsid w:val="008855FA"/>
    <w:rsid w:val="008A3780"/>
    <w:rsid w:val="008A5528"/>
    <w:rsid w:val="008A6F7F"/>
    <w:rsid w:val="008C0C5E"/>
    <w:rsid w:val="008C4FA1"/>
    <w:rsid w:val="008C627D"/>
    <w:rsid w:val="008C6434"/>
    <w:rsid w:val="008D23AB"/>
    <w:rsid w:val="008D5C79"/>
    <w:rsid w:val="008F0BEA"/>
    <w:rsid w:val="0090008C"/>
    <w:rsid w:val="00903EB8"/>
    <w:rsid w:val="00905FCD"/>
    <w:rsid w:val="00906595"/>
    <w:rsid w:val="009214B8"/>
    <w:rsid w:val="00925CA7"/>
    <w:rsid w:val="00930903"/>
    <w:rsid w:val="009508FB"/>
    <w:rsid w:val="00955BC0"/>
    <w:rsid w:val="009722C4"/>
    <w:rsid w:val="00973B81"/>
    <w:rsid w:val="00983E68"/>
    <w:rsid w:val="00985A6E"/>
    <w:rsid w:val="00995FD6"/>
    <w:rsid w:val="0099717D"/>
    <w:rsid w:val="009A2C59"/>
    <w:rsid w:val="009B2E2D"/>
    <w:rsid w:val="009D030C"/>
    <w:rsid w:val="009D53FD"/>
    <w:rsid w:val="009E22EB"/>
    <w:rsid w:val="009E2EA3"/>
    <w:rsid w:val="009E7DCE"/>
    <w:rsid w:val="009F1AAE"/>
    <w:rsid w:val="00A03549"/>
    <w:rsid w:val="00A05A3B"/>
    <w:rsid w:val="00A05BE0"/>
    <w:rsid w:val="00A07AF2"/>
    <w:rsid w:val="00A32864"/>
    <w:rsid w:val="00A33D15"/>
    <w:rsid w:val="00A46D13"/>
    <w:rsid w:val="00A5144C"/>
    <w:rsid w:val="00A57C2F"/>
    <w:rsid w:val="00A71788"/>
    <w:rsid w:val="00A74927"/>
    <w:rsid w:val="00A82626"/>
    <w:rsid w:val="00A860B1"/>
    <w:rsid w:val="00AA3CCA"/>
    <w:rsid w:val="00AA70DD"/>
    <w:rsid w:val="00AC0FA2"/>
    <w:rsid w:val="00AC1035"/>
    <w:rsid w:val="00AC1879"/>
    <w:rsid w:val="00AC502B"/>
    <w:rsid w:val="00AD07A1"/>
    <w:rsid w:val="00AD307B"/>
    <w:rsid w:val="00AD5F19"/>
    <w:rsid w:val="00AD75AC"/>
    <w:rsid w:val="00AE46C9"/>
    <w:rsid w:val="00AE6177"/>
    <w:rsid w:val="00AF0F3F"/>
    <w:rsid w:val="00AF33D2"/>
    <w:rsid w:val="00B22D4A"/>
    <w:rsid w:val="00B234A8"/>
    <w:rsid w:val="00B24C47"/>
    <w:rsid w:val="00B27667"/>
    <w:rsid w:val="00B34829"/>
    <w:rsid w:val="00B40545"/>
    <w:rsid w:val="00B40B67"/>
    <w:rsid w:val="00B42476"/>
    <w:rsid w:val="00B434A6"/>
    <w:rsid w:val="00B46985"/>
    <w:rsid w:val="00B51D15"/>
    <w:rsid w:val="00B5611E"/>
    <w:rsid w:val="00B57D57"/>
    <w:rsid w:val="00B62406"/>
    <w:rsid w:val="00B80C2D"/>
    <w:rsid w:val="00B868A5"/>
    <w:rsid w:val="00B87ED9"/>
    <w:rsid w:val="00B92B15"/>
    <w:rsid w:val="00B92C42"/>
    <w:rsid w:val="00BA5CCE"/>
    <w:rsid w:val="00BA72BB"/>
    <w:rsid w:val="00BB20B8"/>
    <w:rsid w:val="00BB4203"/>
    <w:rsid w:val="00BB4837"/>
    <w:rsid w:val="00BC0268"/>
    <w:rsid w:val="00BD0096"/>
    <w:rsid w:val="00BD1296"/>
    <w:rsid w:val="00BE0108"/>
    <w:rsid w:val="00BE0608"/>
    <w:rsid w:val="00BE52D1"/>
    <w:rsid w:val="00BE566C"/>
    <w:rsid w:val="00BF5302"/>
    <w:rsid w:val="00BF658E"/>
    <w:rsid w:val="00C01680"/>
    <w:rsid w:val="00C02744"/>
    <w:rsid w:val="00C13758"/>
    <w:rsid w:val="00C13EC3"/>
    <w:rsid w:val="00C16D99"/>
    <w:rsid w:val="00C20ABF"/>
    <w:rsid w:val="00C23466"/>
    <w:rsid w:val="00C24FEF"/>
    <w:rsid w:val="00C3061E"/>
    <w:rsid w:val="00C351C7"/>
    <w:rsid w:val="00C41F60"/>
    <w:rsid w:val="00C43E3E"/>
    <w:rsid w:val="00C47E81"/>
    <w:rsid w:val="00C614D8"/>
    <w:rsid w:val="00C624F6"/>
    <w:rsid w:val="00C70CAB"/>
    <w:rsid w:val="00C722EF"/>
    <w:rsid w:val="00C72806"/>
    <w:rsid w:val="00C8455B"/>
    <w:rsid w:val="00C84D1A"/>
    <w:rsid w:val="00C85F9F"/>
    <w:rsid w:val="00C87268"/>
    <w:rsid w:val="00C96135"/>
    <w:rsid w:val="00CA08F6"/>
    <w:rsid w:val="00CA2810"/>
    <w:rsid w:val="00CA5D90"/>
    <w:rsid w:val="00CB01E1"/>
    <w:rsid w:val="00CB2D6C"/>
    <w:rsid w:val="00CB5C0A"/>
    <w:rsid w:val="00CC0763"/>
    <w:rsid w:val="00CC2F23"/>
    <w:rsid w:val="00CC70D8"/>
    <w:rsid w:val="00CE081B"/>
    <w:rsid w:val="00CE380B"/>
    <w:rsid w:val="00CE70E5"/>
    <w:rsid w:val="00D033AD"/>
    <w:rsid w:val="00D04A5E"/>
    <w:rsid w:val="00D05B91"/>
    <w:rsid w:val="00D0733D"/>
    <w:rsid w:val="00D1071B"/>
    <w:rsid w:val="00D1164F"/>
    <w:rsid w:val="00D12FE6"/>
    <w:rsid w:val="00D145FC"/>
    <w:rsid w:val="00D172FE"/>
    <w:rsid w:val="00D21387"/>
    <w:rsid w:val="00D22492"/>
    <w:rsid w:val="00D27423"/>
    <w:rsid w:val="00D31E76"/>
    <w:rsid w:val="00D42218"/>
    <w:rsid w:val="00D45154"/>
    <w:rsid w:val="00D542BD"/>
    <w:rsid w:val="00D5596A"/>
    <w:rsid w:val="00D61226"/>
    <w:rsid w:val="00D8618C"/>
    <w:rsid w:val="00D874F7"/>
    <w:rsid w:val="00D91B46"/>
    <w:rsid w:val="00D93B55"/>
    <w:rsid w:val="00D95EC8"/>
    <w:rsid w:val="00D97052"/>
    <w:rsid w:val="00DA3C33"/>
    <w:rsid w:val="00DA3CF5"/>
    <w:rsid w:val="00DA556B"/>
    <w:rsid w:val="00DA656B"/>
    <w:rsid w:val="00DB2DA8"/>
    <w:rsid w:val="00DC3E5D"/>
    <w:rsid w:val="00DC56D0"/>
    <w:rsid w:val="00DC6412"/>
    <w:rsid w:val="00DD22DA"/>
    <w:rsid w:val="00DE3059"/>
    <w:rsid w:val="00DE3942"/>
    <w:rsid w:val="00DE45C2"/>
    <w:rsid w:val="00DE4AC9"/>
    <w:rsid w:val="00DF11B0"/>
    <w:rsid w:val="00E04F3D"/>
    <w:rsid w:val="00E12101"/>
    <w:rsid w:val="00E13119"/>
    <w:rsid w:val="00E2571B"/>
    <w:rsid w:val="00E336F3"/>
    <w:rsid w:val="00E3387E"/>
    <w:rsid w:val="00E40B2A"/>
    <w:rsid w:val="00E4104F"/>
    <w:rsid w:val="00E445CC"/>
    <w:rsid w:val="00E5122A"/>
    <w:rsid w:val="00E5685C"/>
    <w:rsid w:val="00E574B1"/>
    <w:rsid w:val="00E614F2"/>
    <w:rsid w:val="00E71015"/>
    <w:rsid w:val="00E74AB7"/>
    <w:rsid w:val="00E82F7C"/>
    <w:rsid w:val="00E853AE"/>
    <w:rsid w:val="00E85F1F"/>
    <w:rsid w:val="00E93AFB"/>
    <w:rsid w:val="00E966B4"/>
    <w:rsid w:val="00EA08F7"/>
    <w:rsid w:val="00EA3651"/>
    <w:rsid w:val="00EA5BF8"/>
    <w:rsid w:val="00EA725D"/>
    <w:rsid w:val="00EB0C7E"/>
    <w:rsid w:val="00EB1E60"/>
    <w:rsid w:val="00EB64B1"/>
    <w:rsid w:val="00ED0F32"/>
    <w:rsid w:val="00ED7F64"/>
    <w:rsid w:val="00EE1814"/>
    <w:rsid w:val="00EE41BA"/>
    <w:rsid w:val="00EF0409"/>
    <w:rsid w:val="00EF0737"/>
    <w:rsid w:val="00EF540C"/>
    <w:rsid w:val="00F04F62"/>
    <w:rsid w:val="00F07388"/>
    <w:rsid w:val="00F159FD"/>
    <w:rsid w:val="00F23F8C"/>
    <w:rsid w:val="00F36FDF"/>
    <w:rsid w:val="00F403FD"/>
    <w:rsid w:val="00F44403"/>
    <w:rsid w:val="00F46920"/>
    <w:rsid w:val="00F676E8"/>
    <w:rsid w:val="00F67D79"/>
    <w:rsid w:val="00F72252"/>
    <w:rsid w:val="00F75DCB"/>
    <w:rsid w:val="00F77193"/>
    <w:rsid w:val="00F8612F"/>
    <w:rsid w:val="00F97812"/>
    <w:rsid w:val="00FA02C3"/>
    <w:rsid w:val="00FA1121"/>
    <w:rsid w:val="00FA2A1D"/>
    <w:rsid w:val="00FA2F79"/>
    <w:rsid w:val="00FA6FF2"/>
    <w:rsid w:val="00FB3EB6"/>
    <w:rsid w:val="00FC2BF0"/>
    <w:rsid w:val="00FD01C5"/>
    <w:rsid w:val="00FD3F77"/>
    <w:rsid w:val="00FE7030"/>
    <w:rsid w:val="00FE7865"/>
    <w:rsid w:val="00FE7EF2"/>
    <w:rsid w:val="00FF2858"/>
    <w:rsid w:val="00FF38EB"/>
    <w:rsid w:val="010960DB"/>
    <w:rsid w:val="01A432E5"/>
    <w:rsid w:val="01E50C7F"/>
    <w:rsid w:val="02873374"/>
    <w:rsid w:val="02EB4DAB"/>
    <w:rsid w:val="02ED4668"/>
    <w:rsid w:val="02FD2243"/>
    <w:rsid w:val="035A1F09"/>
    <w:rsid w:val="037705FC"/>
    <w:rsid w:val="03A04B2A"/>
    <w:rsid w:val="03AD1674"/>
    <w:rsid w:val="044B79B5"/>
    <w:rsid w:val="048C61C4"/>
    <w:rsid w:val="04B37638"/>
    <w:rsid w:val="04E2038A"/>
    <w:rsid w:val="05EC4D0D"/>
    <w:rsid w:val="065166D3"/>
    <w:rsid w:val="07D04E3F"/>
    <w:rsid w:val="08303624"/>
    <w:rsid w:val="08A45D09"/>
    <w:rsid w:val="08B304D6"/>
    <w:rsid w:val="092A4E7E"/>
    <w:rsid w:val="093873D3"/>
    <w:rsid w:val="09CE2932"/>
    <w:rsid w:val="09F95970"/>
    <w:rsid w:val="0A691FB4"/>
    <w:rsid w:val="0AC46188"/>
    <w:rsid w:val="0BC159F3"/>
    <w:rsid w:val="0C9F7942"/>
    <w:rsid w:val="0CB36073"/>
    <w:rsid w:val="0D301BD1"/>
    <w:rsid w:val="0DCB5CAE"/>
    <w:rsid w:val="0DE16F71"/>
    <w:rsid w:val="0E1B5813"/>
    <w:rsid w:val="0E5B2B50"/>
    <w:rsid w:val="1118543B"/>
    <w:rsid w:val="11553722"/>
    <w:rsid w:val="11D02DA6"/>
    <w:rsid w:val="1381397F"/>
    <w:rsid w:val="14815B34"/>
    <w:rsid w:val="14E9039D"/>
    <w:rsid w:val="158253D4"/>
    <w:rsid w:val="158D6380"/>
    <w:rsid w:val="15A0171E"/>
    <w:rsid w:val="15DC6FCB"/>
    <w:rsid w:val="15EB413C"/>
    <w:rsid w:val="1684382A"/>
    <w:rsid w:val="171A791F"/>
    <w:rsid w:val="175E18A9"/>
    <w:rsid w:val="175E42CB"/>
    <w:rsid w:val="181440A2"/>
    <w:rsid w:val="185E79C4"/>
    <w:rsid w:val="18C45512"/>
    <w:rsid w:val="19143A13"/>
    <w:rsid w:val="192D3722"/>
    <w:rsid w:val="1A5C0601"/>
    <w:rsid w:val="1AA4110C"/>
    <w:rsid w:val="1ABE4583"/>
    <w:rsid w:val="1ADE561C"/>
    <w:rsid w:val="1B071FCE"/>
    <w:rsid w:val="1B68325A"/>
    <w:rsid w:val="1B9F08AE"/>
    <w:rsid w:val="1BAE5B79"/>
    <w:rsid w:val="1BB9294D"/>
    <w:rsid w:val="1BBA2C6D"/>
    <w:rsid w:val="1BD873E7"/>
    <w:rsid w:val="1BF161CC"/>
    <w:rsid w:val="1CF815D2"/>
    <w:rsid w:val="1D934612"/>
    <w:rsid w:val="1D967DC1"/>
    <w:rsid w:val="1E0E4954"/>
    <w:rsid w:val="1E504B34"/>
    <w:rsid w:val="1E7C63EC"/>
    <w:rsid w:val="1EAF59CE"/>
    <w:rsid w:val="1EF34658"/>
    <w:rsid w:val="200A3FAE"/>
    <w:rsid w:val="201367AC"/>
    <w:rsid w:val="203435E0"/>
    <w:rsid w:val="208934ED"/>
    <w:rsid w:val="20D34855"/>
    <w:rsid w:val="213B34B9"/>
    <w:rsid w:val="21DD5E44"/>
    <w:rsid w:val="225D4DB4"/>
    <w:rsid w:val="22710731"/>
    <w:rsid w:val="234966BB"/>
    <w:rsid w:val="23CE70F9"/>
    <w:rsid w:val="24D30F34"/>
    <w:rsid w:val="24D42BAF"/>
    <w:rsid w:val="256A2038"/>
    <w:rsid w:val="256A2239"/>
    <w:rsid w:val="25B17D1A"/>
    <w:rsid w:val="25D31FA2"/>
    <w:rsid w:val="25E961B4"/>
    <w:rsid w:val="260476D2"/>
    <w:rsid w:val="262136E6"/>
    <w:rsid w:val="262841A1"/>
    <w:rsid w:val="26A61399"/>
    <w:rsid w:val="26C855D9"/>
    <w:rsid w:val="26D9515F"/>
    <w:rsid w:val="27087A14"/>
    <w:rsid w:val="27397A74"/>
    <w:rsid w:val="287B59DB"/>
    <w:rsid w:val="287C6351"/>
    <w:rsid w:val="28CF7173"/>
    <w:rsid w:val="292E6D20"/>
    <w:rsid w:val="299B66A6"/>
    <w:rsid w:val="29CB09E3"/>
    <w:rsid w:val="2A08543C"/>
    <w:rsid w:val="2A754C13"/>
    <w:rsid w:val="2AAD020B"/>
    <w:rsid w:val="2BB56E1B"/>
    <w:rsid w:val="2BFA74B9"/>
    <w:rsid w:val="2C3D2574"/>
    <w:rsid w:val="2C721B05"/>
    <w:rsid w:val="2C8562C9"/>
    <w:rsid w:val="2CB63A0F"/>
    <w:rsid w:val="2CBD3AB1"/>
    <w:rsid w:val="2DD143AD"/>
    <w:rsid w:val="2E044584"/>
    <w:rsid w:val="2E525B08"/>
    <w:rsid w:val="2EA925B3"/>
    <w:rsid w:val="2F147CE2"/>
    <w:rsid w:val="2F862BB7"/>
    <w:rsid w:val="2FD1744A"/>
    <w:rsid w:val="302579D2"/>
    <w:rsid w:val="303C4DD8"/>
    <w:rsid w:val="30795117"/>
    <w:rsid w:val="30B0100B"/>
    <w:rsid w:val="30B61719"/>
    <w:rsid w:val="313C3667"/>
    <w:rsid w:val="31AE3A53"/>
    <w:rsid w:val="31E8110C"/>
    <w:rsid w:val="32046176"/>
    <w:rsid w:val="323B647A"/>
    <w:rsid w:val="32950381"/>
    <w:rsid w:val="33267430"/>
    <w:rsid w:val="33585DC0"/>
    <w:rsid w:val="34067C82"/>
    <w:rsid w:val="34AF3729"/>
    <w:rsid w:val="361E5C93"/>
    <w:rsid w:val="368E7B37"/>
    <w:rsid w:val="36E73FF7"/>
    <w:rsid w:val="36F63FC3"/>
    <w:rsid w:val="380D227D"/>
    <w:rsid w:val="386722E7"/>
    <w:rsid w:val="389820FA"/>
    <w:rsid w:val="389E51C4"/>
    <w:rsid w:val="38C74FBA"/>
    <w:rsid w:val="38E64805"/>
    <w:rsid w:val="3920644B"/>
    <w:rsid w:val="39503A67"/>
    <w:rsid w:val="3A920690"/>
    <w:rsid w:val="3AF26BCF"/>
    <w:rsid w:val="3AF92B9E"/>
    <w:rsid w:val="3BC426A2"/>
    <w:rsid w:val="3CDF71CE"/>
    <w:rsid w:val="3D2010F5"/>
    <w:rsid w:val="3D70537C"/>
    <w:rsid w:val="3D8A63A3"/>
    <w:rsid w:val="3DA370D0"/>
    <w:rsid w:val="3E5E2CD8"/>
    <w:rsid w:val="3F3047B2"/>
    <w:rsid w:val="407056AB"/>
    <w:rsid w:val="4092394E"/>
    <w:rsid w:val="41116A53"/>
    <w:rsid w:val="411E5224"/>
    <w:rsid w:val="420A1B60"/>
    <w:rsid w:val="421361F6"/>
    <w:rsid w:val="42301CD3"/>
    <w:rsid w:val="42307514"/>
    <w:rsid w:val="43260BBB"/>
    <w:rsid w:val="43284F59"/>
    <w:rsid w:val="433F553F"/>
    <w:rsid w:val="43462E94"/>
    <w:rsid w:val="45F91830"/>
    <w:rsid w:val="46067D1B"/>
    <w:rsid w:val="462862D0"/>
    <w:rsid w:val="47B275FE"/>
    <w:rsid w:val="487B2E53"/>
    <w:rsid w:val="48E526EB"/>
    <w:rsid w:val="490E45AB"/>
    <w:rsid w:val="499C2271"/>
    <w:rsid w:val="4B1F133F"/>
    <w:rsid w:val="4B5E3E8F"/>
    <w:rsid w:val="4BB2780A"/>
    <w:rsid w:val="4BC25044"/>
    <w:rsid w:val="4BE769FF"/>
    <w:rsid w:val="4C534AA3"/>
    <w:rsid w:val="4CAD183A"/>
    <w:rsid w:val="4D190E01"/>
    <w:rsid w:val="4D8D4CB8"/>
    <w:rsid w:val="4DFE6071"/>
    <w:rsid w:val="506439B2"/>
    <w:rsid w:val="508B5E6C"/>
    <w:rsid w:val="50A96362"/>
    <w:rsid w:val="50DE2016"/>
    <w:rsid w:val="510010EE"/>
    <w:rsid w:val="5275554C"/>
    <w:rsid w:val="527E7371"/>
    <w:rsid w:val="52F17690"/>
    <w:rsid w:val="53007EBC"/>
    <w:rsid w:val="53185295"/>
    <w:rsid w:val="53E35E8A"/>
    <w:rsid w:val="543E2894"/>
    <w:rsid w:val="559A293B"/>
    <w:rsid w:val="55B63AB7"/>
    <w:rsid w:val="55B76377"/>
    <w:rsid w:val="560C0779"/>
    <w:rsid w:val="567C50A2"/>
    <w:rsid w:val="57175BFF"/>
    <w:rsid w:val="58B03E74"/>
    <w:rsid w:val="58D47AFF"/>
    <w:rsid w:val="58DD1AA3"/>
    <w:rsid w:val="59414414"/>
    <w:rsid w:val="597770CF"/>
    <w:rsid w:val="59E74D63"/>
    <w:rsid w:val="5A4F2036"/>
    <w:rsid w:val="5A7900C1"/>
    <w:rsid w:val="5B2E35BC"/>
    <w:rsid w:val="5B34018A"/>
    <w:rsid w:val="5CD805F8"/>
    <w:rsid w:val="5CEA0123"/>
    <w:rsid w:val="5D44482C"/>
    <w:rsid w:val="5D652904"/>
    <w:rsid w:val="5E0836AB"/>
    <w:rsid w:val="5E3D60B3"/>
    <w:rsid w:val="5E7D1EA0"/>
    <w:rsid w:val="5ECD571E"/>
    <w:rsid w:val="5EE620C7"/>
    <w:rsid w:val="5F1142AC"/>
    <w:rsid w:val="5F573DAB"/>
    <w:rsid w:val="5FD135F3"/>
    <w:rsid w:val="60190077"/>
    <w:rsid w:val="60291376"/>
    <w:rsid w:val="607319E2"/>
    <w:rsid w:val="60992E4E"/>
    <w:rsid w:val="61461DEA"/>
    <w:rsid w:val="616D2C6C"/>
    <w:rsid w:val="625716FF"/>
    <w:rsid w:val="62C128AE"/>
    <w:rsid w:val="62EE4882"/>
    <w:rsid w:val="62F600E9"/>
    <w:rsid w:val="633F138D"/>
    <w:rsid w:val="641D3BBD"/>
    <w:rsid w:val="64707A23"/>
    <w:rsid w:val="648300E0"/>
    <w:rsid w:val="648F5CB9"/>
    <w:rsid w:val="64B9033A"/>
    <w:rsid w:val="65252A7D"/>
    <w:rsid w:val="653F08F8"/>
    <w:rsid w:val="659D2CCD"/>
    <w:rsid w:val="6623478C"/>
    <w:rsid w:val="67217DD4"/>
    <w:rsid w:val="673D7DDA"/>
    <w:rsid w:val="67835E81"/>
    <w:rsid w:val="67D35361"/>
    <w:rsid w:val="67DC2478"/>
    <w:rsid w:val="6887676D"/>
    <w:rsid w:val="692F453C"/>
    <w:rsid w:val="6A7D557F"/>
    <w:rsid w:val="6AD677D9"/>
    <w:rsid w:val="6B6D50F3"/>
    <w:rsid w:val="6BB83C6F"/>
    <w:rsid w:val="6C150664"/>
    <w:rsid w:val="6C445285"/>
    <w:rsid w:val="6CDA1225"/>
    <w:rsid w:val="6E2A086A"/>
    <w:rsid w:val="6E6F1E6E"/>
    <w:rsid w:val="6EC70196"/>
    <w:rsid w:val="6ED12BB6"/>
    <w:rsid w:val="6F584A9D"/>
    <w:rsid w:val="6FA2727D"/>
    <w:rsid w:val="6FA62B4E"/>
    <w:rsid w:val="6FB7154A"/>
    <w:rsid w:val="70443BCF"/>
    <w:rsid w:val="70D3326F"/>
    <w:rsid w:val="711329A6"/>
    <w:rsid w:val="715A5DFA"/>
    <w:rsid w:val="71C72182"/>
    <w:rsid w:val="72126BF3"/>
    <w:rsid w:val="72912B37"/>
    <w:rsid w:val="72EC521C"/>
    <w:rsid w:val="73CB37DF"/>
    <w:rsid w:val="73ED1BF4"/>
    <w:rsid w:val="73F2620F"/>
    <w:rsid w:val="74507071"/>
    <w:rsid w:val="749A1C33"/>
    <w:rsid w:val="74BF565D"/>
    <w:rsid w:val="74FC32BE"/>
    <w:rsid w:val="754C0DAF"/>
    <w:rsid w:val="75A8712E"/>
    <w:rsid w:val="760F041B"/>
    <w:rsid w:val="77E821F6"/>
    <w:rsid w:val="781317C1"/>
    <w:rsid w:val="78BB46EF"/>
    <w:rsid w:val="799410A0"/>
    <w:rsid w:val="79C20A55"/>
    <w:rsid w:val="79DF384C"/>
    <w:rsid w:val="7A414104"/>
    <w:rsid w:val="7AAA76E7"/>
    <w:rsid w:val="7B2F0654"/>
    <w:rsid w:val="7B8A65A7"/>
    <w:rsid w:val="7BFD1320"/>
    <w:rsid w:val="7D1C0DD2"/>
    <w:rsid w:val="7D5A3861"/>
    <w:rsid w:val="7DA44800"/>
    <w:rsid w:val="7E2670BD"/>
    <w:rsid w:val="7EC32B14"/>
    <w:rsid w:val="7F2E3ABF"/>
    <w:rsid w:val="7FBA5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nhideWhenUsed="0" w:uiPriority="0"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iPriority="0" w:semiHidden="0" w:name="Normal Indent"/>
    <w:lsdException w:uiPriority="1" w:name="footnote text"/>
    <w:lsdException w:uiPriority="1" w:name="annotation text"/>
    <w:lsdException w:qFormat="1"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qFormat="1" w:unhideWhenUsed="0" w:uiPriority="0" w:semiHidden="0" w:name="envelope return"/>
    <w:lsdException w:uiPriority="1" w:name="footnote reference"/>
    <w:lsdException w:uiPriority="1" w:name="annotation reference"/>
    <w:lsdException w:uiPriority="1" w:name="line number"/>
    <w:lsdException w:qFormat="1" w:uiPriority="99"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iPriority="99"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qFormat="1" w:unhideWhenUsed="0" w:uiPriority="0" w:semiHidden="0"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qFormat="1" w:unhideWhenUsed="0" w:uiPriority="0" w:semiHidden="0" w:name="Block Text"/>
    <w:lsdException w:uiPriority="1" w:name="Hyperlink"/>
    <w:lsdException w:uiPriority="1"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3"/>
    <w:basedOn w:val="1"/>
    <w:next w:val="1"/>
    <w:link w:val="21"/>
    <w:qFormat/>
    <w:uiPriority w:val="0"/>
    <w:pPr>
      <w:keepNext/>
      <w:keepLines/>
      <w:jc w:val="center"/>
      <w:outlineLvl w:val="2"/>
    </w:pPr>
    <w:rPr>
      <w:rFonts w:eastAsia="仿宋_GB2312"/>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unhideWhenUsed/>
    <w:qFormat/>
    <w:uiPriority w:val="99"/>
    <w:rPr>
      <w:sz w:val="28"/>
    </w:rPr>
  </w:style>
  <w:style w:type="paragraph" w:customStyle="1" w:styleId="3">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styleId="6">
    <w:name w:val="Normal Indent"/>
    <w:basedOn w:val="1"/>
    <w:link w:val="22"/>
    <w:unhideWhenUsed/>
    <w:qFormat/>
    <w:uiPriority w:val="0"/>
    <w:pPr>
      <w:adjustRightInd w:val="0"/>
      <w:spacing w:line="360" w:lineRule="atLeast"/>
      <w:ind w:firstLine="482"/>
    </w:pPr>
    <w:rPr>
      <w:sz w:val="24"/>
      <w:szCs w:val="24"/>
    </w:rPr>
  </w:style>
  <w:style w:type="paragraph" w:styleId="7">
    <w:name w:val="Body Text Indent"/>
    <w:basedOn w:val="1"/>
    <w:next w:val="8"/>
    <w:qFormat/>
    <w:uiPriority w:val="99"/>
    <w:pPr>
      <w:spacing w:line="360" w:lineRule="auto"/>
      <w:ind w:firstLine="500" w:firstLineChars="200"/>
    </w:pPr>
    <w:rPr>
      <w:rFonts w:ascii="仿宋_GB2312" w:eastAsia="仿宋_GB2312"/>
      <w:sz w:val="25"/>
      <w:szCs w:val="24"/>
    </w:rPr>
  </w:style>
  <w:style w:type="paragraph" w:styleId="8">
    <w:name w:val="envelope return"/>
    <w:basedOn w:val="1"/>
    <w:qFormat/>
    <w:uiPriority w:val="0"/>
    <w:pPr>
      <w:snapToGrid w:val="0"/>
    </w:pPr>
    <w:rPr>
      <w:rFonts w:ascii="Arial" w:hAnsi="Arial"/>
    </w:rPr>
  </w:style>
  <w:style w:type="paragraph" w:styleId="9">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10">
    <w:name w:val="Plain Text"/>
    <w:basedOn w:val="1"/>
    <w:qFormat/>
    <w:uiPriority w:val="0"/>
    <w:rPr>
      <w:rFonts w:ascii="宋体" w:hAnsi="Courier New" w:cs="Courier New"/>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200"/>
    </w:pPr>
    <w:rPr>
      <w:szCs w:val="20"/>
    </w:rPr>
  </w:style>
  <w:style w:type="character" w:styleId="18">
    <w:name w:val="Strong"/>
    <w:qFormat/>
    <w:uiPriority w:val="0"/>
    <w:rPr>
      <w:b/>
      <w:bCs/>
    </w:rPr>
  </w:style>
  <w:style w:type="character" w:styleId="19">
    <w:name w:val="page number"/>
    <w:unhideWhenUsed/>
    <w:qFormat/>
    <w:uiPriority w:val="99"/>
  </w:style>
  <w:style w:type="character" w:customStyle="1" w:styleId="20">
    <w:name w:val="正文文本 字符"/>
    <w:link w:val="2"/>
    <w:qFormat/>
    <w:uiPriority w:val="99"/>
    <w:rPr>
      <w:kern w:val="2"/>
      <w:sz w:val="28"/>
    </w:rPr>
  </w:style>
  <w:style w:type="character" w:customStyle="1" w:styleId="21">
    <w:name w:val="标题 3 字符"/>
    <w:link w:val="5"/>
    <w:qFormat/>
    <w:uiPriority w:val="0"/>
    <w:rPr>
      <w:rFonts w:eastAsia="仿宋_GB2312"/>
      <w:bCs/>
      <w:kern w:val="2"/>
      <w:sz w:val="28"/>
      <w:szCs w:val="32"/>
      <w:lang w:val="en-US" w:eastAsia="zh-CN" w:bidi="ar-SA"/>
    </w:rPr>
  </w:style>
  <w:style w:type="character" w:customStyle="1" w:styleId="22">
    <w:name w:val="正文缩进 字符"/>
    <w:link w:val="6"/>
    <w:qFormat/>
    <w:uiPriority w:val="0"/>
    <w:rPr>
      <w:rFonts w:eastAsia="宋体"/>
      <w:kern w:val="2"/>
      <w:sz w:val="24"/>
      <w:szCs w:val="24"/>
      <w:lang w:val="en-US" w:eastAsia="zh-CN" w:bidi="ar-SA"/>
    </w:rPr>
  </w:style>
  <w:style w:type="paragraph" w:customStyle="1" w:styleId="23">
    <w:name w:val="BodyText"/>
    <w:basedOn w:val="1"/>
    <w:qFormat/>
    <w:uiPriority w:val="0"/>
    <w:pPr>
      <w:spacing w:line="400" w:lineRule="exact"/>
      <w:textAlignment w:val="baseline"/>
    </w:pPr>
    <w:rPr>
      <w:rFonts w:ascii="楷体_GB2312"/>
      <w:sz w:val="28"/>
      <w:szCs w:val="24"/>
    </w:rPr>
  </w:style>
  <w:style w:type="character" w:customStyle="1" w:styleId="24">
    <w:name w:val="正文缩进 Char"/>
    <w:qFormat/>
    <w:uiPriority w:val="0"/>
    <w:rPr>
      <w:kern w:val="2"/>
      <w:sz w:val="24"/>
      <w:szCs w:val="24"/>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Char Char Char Char"/>
    <w:basedOn w:val="1"/>
    <w:qFormat/>
    <w:uiPriority w:val="0"/>
    <w:rPr>
      <w:szCs w:val="24"/>
    </w:rPr>
  </w:style>
  <w:style w:type="paragraph" w:customStyle="1" w:styleId="28">
    <w:name w:val="Char Char Char Char Char Char Char Char Char Char Char"/>
    <w:basedOn w:val="1"/>
    <w:qFormat/>
    <w:uiPriority w:val="0"/>
    <w:rPr>
      <w:szCs w:val="24"/>
    </w:rPr>
  </w:style>
  <w:style w:type="paragraph" w:customStyle="1" w:styleId="29">
    <w:name w:val="flType"/>
    <w:basedOn w:val="1"/>
    <w:qFormat/>
    <w:uiPriority w:val="0"/>
    <w:pPr>
      <w:adjustRightInd w:val="0"/>
      <w:spacing w:after="284" w:line="113" w:lineRule="atLeast"/>
      <w:jc w:val="center"/>
    </w:pPr>
    <w:rPr>
      <w:kern w:val="0"/>
      <w:sz w:val="24"/>
    </w:rPr>
  </w:style>
  <w:style w:type="paragraph" w:customStyle="1" w:styleId="30">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p0"/>
    <w:basedOn w:val="1"/>
    <w:qFormat/>
    <w:uiPriority w:val="0"/>
    <w:pPr>
      <w:widowControl/>
    </w:pPr>
    <w:rPr>
      <w:color w:val="000000"/>
      <w:kern w:val="0"/>
      <w:szCs w:val="21"/>
    </w:rPr>
  </w:style>
  <w:style w:type="paragraph" w:customStyle="1" w:styleId="33">
    <w:name w:val="Char Char Char Char Char Char Char Char Char Char Char Char Char Char Char Char"/>
    <w:basedOn w:val="1"/>
    <w:qFormat/>
    <w:uiPriority w:val="0"/>
    <w:pPr>
      <w:widowControl/>
      <w:spacing w:after="160" w:line="240" w:lineRule="exact"/>
      <w:jc w:val="left"/>
    </w:pPr>
  </w:style>
  <w:style w:type="paragraph" w:customStyle="1" w:styleId="34">
    <w:name w:val="Char Char Char Char Char Char1 Char Char Char Char Char Char Char Char Char Char Char Char Char"/>
    <w:basedOn w:val="1"/>
    <w:qFormat/>
    <w:uiPriority w:val="0"/>
  </w:style>
  <w:style w:type="character" w:customStyle="1" w:styleId="35">
    <w:name w:val="NormalCharacter"/>
    <w:qFormat/>
    <w:uiPriority w:val="0"/>
    <w:rPr>
      <w:kern w:val="2"/>
      <w:sz w:val="21"/>
      <w:szCs w:val="24"/>
      <w:lang w:val="en-US" w:eastAsia="zh-CN" w:bidi="ar-SA"/>
    </w:rPr>
  </w:style>
  <w:style w:type="character" w:customStyle="1" w:styleId="36">
    <w:name w:val="HTML 预设格式 字符"/>
    <w:link w:val="13"/>
    <w:qFormat/>
    <w:uiPriority w:val="0"/>
    <w:rPr>
      <w:rFonts w:ascii="黑体" w:hAnsi="Courier New" w:eastAsia="黑体" w:cs="Courier New"/>
    </w:rPr>
  </w:style>
  <w:style w:type="character" w:customStyle="1" w:styleId="37">
    <w:name w:val="style81"/>
    <w:basedOn w:val="17"/>
    <w:qFormat/>
    <w:uiPriority w:val="0"/>
    <w:rPr>
      <w:color w:val="000000"/>
      <w:sz w:val="18"/>
      <w:szCs w:val="18"/>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Table Text"/>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0">
    <w:name w:val="List Paragraph"/>
    <w:basedOn w:val="1"/>
    <w:qFormat/>
    <w:uiPriority w:val="34"/>
    <w:pPr>
      <w:ind w:firstLine="420" w:firstLineChars="200"/>
    </w:pPr>
    <w:rPr>
      <w:rFonts w:ascii="Calibri" w:hAnsi="Calibri"/>
    </w:rPr>
  </w:style>
  <w:style w:type="paragraph" w:customStyle="1" w:styleId="41">
    <w:name w:val="表格文字"/>
    <w:basedOn w:val="1"/>
    <w:next w:val="2"/>
    <w:autoRedefine/>
    <w:qFormat/>
    <w:uiPriority w:val="0"/>
    <w:pPr>
      <w:shd w:val="clear" w:color="auto" w:fill="FFFFFF"/>
      <w:spacing w:line="360" w:lineRule="auto"/>
      <w:ind w:firstLine="420" w:firstLineChars="200"/>
      <w:jc w:val="left"/>
      <w:textAlignment w:val="baseline"/>
    </w:pPr>
    <w:rPr>
      <w:rFonts w:ascii="宋体" w:hAnsi="宋体" w:cs="宋体"/>
      <w:color w:val="FF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21010</Words>
  <Characters>21620</Characters>
  <Lines>171</Lines>
  <Paragraphs>48</Paragraphs>
  <TotalTime>3</TotalTime>
  <ScaleCrop>false</ScaleCrop>
  <LinksUpToDate>false</LinksUpToDate>
  <CharactersWithSpaces>22769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2024-09-03T03:27:00Z</dcterms:created>
  <dc:creator>Administrator</dc:creator>
  <cp:lastModifiedBy>A.曼珠沙华</cp:lastModifiedBy>
  <cp:lastPrinted>2020-07-03T01:36:00Z</cp:lastPrinted>
  <dcterms:modified xsi:type="dcterms:W3CDTF">2024-10-16T07:21:02Z</dcterms:modified>
  <dc:title>如东县公共资源交易中心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96EB45BA9FB249F996D9CD7B039FED2C_13</vt:lpwstr>
  </property>
</Properties>
</file>