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2D93F">
      <w:pPr>
        <w:pStyle w:val="55"/>
        <w:ind w:firstLine="120"/>
        <w:rPr>
          <w:kern w:val="2"/>
        </w:rPr>
      </w:pPr>
      <w:bookmarkStart w:id="0" w:name="_Toc120614210"/>
    </w:p>
    <w:p w14:paraId="0A1C1A14">
      <w:pPr>
        <w:pStyle w:val="55"/>
        <w:ind w:firstLine="221"/>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如东县洋口镇中心卫生院眼科显微镜采购项目（第三次）</w:t>
      </w:r>
    </w:p>
    <w:p w14:paraId="7B7F1EE1">
      <w:pPr>
        <w:pStyle w:val="55"/>
        <w:ind w:firstLine="241"/>
        <w:jc w:val="center"/>
        <w:rPr>
          <w:rFonts w:ascii="宋体" w:hAnsi="宋体" w:cs="宋体"/>
          <w:b/>
          <w:bCs/>
          <w:sz w:val="48"/>
          <w:szCs w:val="48"/>
        </w:rPr>
      </w:pPr>
    </w:p>
    <w:p w14:paraId="5C7216A1">
      <w:pPr>
        <w:pStyle w:val="55"/>
        <w:ind w:firstLine="241"/>
        <w:jc w:val="center"/>
        <w:rPr>
          <w:rFonts w:ascii="宋体" w:hAnsi="宋体" w:cs="宋体"/>
          <w:b/>
          <w:bCs/>
          <w:sz w:val="48"/>
          <w:szCs w:val="48"/>
        </w:rPr>
      </w:pPr>
    </w:p>
    <w:p w14:paraId="41E102BF">
      <w:pPr>
        <w:pStyle w:val="55"/>
        <w:ind w:firstLine="241"/>
        <w:jc w:val="center"/>
        <w:rPr>
          <w:rFonts w:ascii="宋体" w:hAnsi="宋体" w:cs="宋体"/>
          <w:b/>
          <w:bCs/>
          <w:sz w:val="48"/>
          <w:szCs w:val="48"/>
        </w:rPr>
      </w:pPr>
    </w:p>
    <w:p w14:paraId="50299D47">
      <w:pPr>
        <w:pStyle w:val="55"/>
        <w:ind w:firstLine="241"/>
        <w:jc w:val="center"/>
        <w:rPr>
          <w:rFonts w:ascii="宋体" w:hAnsi="宋体" w:cs="宋体"/>
          <w:b/>
          <w:bCs/>
          <w:sz w:val="48"/>
          <w:szCs w:val="48"/>
        </w:rPr>
      </w:pPr>
    </w:p>
    <w:p w14:paraId="3BB51230">
      <w:pPr>
        <w:pStyle w:val="55"/>
        <w:ind w:firstLine="422"/>
        <w:jc w:val="center"/>
        <w:rPr>
          <w:rFonts w:ascii="宋体" w:hAnsi="宋体" w:cs="宋体"/>
          <w:b/>
          <w:bCs/>
          <w:sz w:val="84"/>
          <w:szCs w:val="84"/>
        </w:rPr>
      </w:pPr>
      <w:r>
        <w:rPr>
          <w:rFonts w:hint="eastAsia" w:ascii="宋体" w:hAnsi="宋体" w:cs="宋体"/>
          <w:b/>
          <w:bCs/>
          <w:sz w:val="84"/>
          <w:szCs w:val="84"/>
        </w:rPr>
        <w:t>招　标　文　件</w:t>
      </w:r>
    </w:p>
    <w:p w14:paraId="5E3AE4A8">
      <w:pPr>
        <w:pStyle w:val="55"/>
        <w:ind w:firstLine="221"/>
        <w:jc w:val="center"/>
        <w:rPr>
          <w:rFonts w:ascii="宋体" w:hAnsi="宋体" w:cs="宋体"/>
          <w:b/>
          <w:bCs/>
          <w:sz w:val="44"/>
          <w:szCs w:val="44"/>
        </w:rPr>
      </w:pPr>
    </w:p>
    <w:p w14:paraId="64153307">
      <w:pPr>
        <w:pStyle w:val="55"/>
        <w:ind w:firstLine="221"/>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w:t>
      </w:r>
      <w:r>
        <w:rPr>
          <w:rFonts w:hint="eastAsia" w:ascii="宋体" w:hAnsi="宋体" w:cs="宋体"/>
          <w:b/>
          <w:bCs/>
          <w:sz w:val="44"/>
          <w:szCs w:val="44"/>
          <w:lang w:val="en-US" w:eastAsia="zh-CN"/>
        </w:rPr>
        <w:t>重新招标</w:t>
      </w:r>
      <w:r>
        <w:rPr>
          <w:rFonts w:hint="eastAsia" w:ascii="宋体" w:hAnsi="宋体" w:cs="宋体"/>
          <w:b/>
          <w:bCs/>
          <w:sz w:val="44"/>
          <w:szCs w:val="44"/>
          <w:lang w:eastAsia="zh-CN"/>
        </w:rPr>
        <w:t>）</w:t>
      </w:r>
    </w:p>
    <w:p w14:paraId="67DFB398">
      <w:pPr>
        <w:pStyle w:val="55"/>
        <w:tabs>
          <w:tab w:val="left" w:pos="2694"/>
        </w:tabs>
        <w:ind w:firstLine="241"/>
        <w:rPr>
          <w:rFonts w:ascii="宋体" w:hAnsi="宋体" w:cs="宋体"/>
          <w:b/>
          <w:sz w:val="48"/>
          <w:szCs w:val="48"/>
        </w:rPr>
      </w:pPr>
    </w:p>
    <w:p w14:paraId="147AC4FD">
      <w:pPr>
        <w:pStyle w:val="55"/>
        <w:tabs>
          <w:tab w:val="left" w:pos="2694"/>
        </w:tabs>
        <w:ind w:firstLine="1038" w:firstLineChars="371"/>
        <w:jc w:val="both"/>
        <w:rPr>
          <w:rFonts w:ascii="宋体" w:hAnsi="宋体" w:cs="宋体"/>
          <w:bCs/>
          <w:sz w:val="28"/>
          <w:szCs w:val="28"/>
        </w:rPr>
      </w:pPr>
    </w:p>
    <w:p w14:paraId="7428BFB6">
      <w:pPr>
        <w:rPr>
          <w:rFonts w:hint="eastAsia" w:ascii="宋体" w:eastAsia="宋体" w:cs="宋体"/>
          <w:b/>
          <w:sz w:val="30"/>
          <w:szCs w:val="30"/>
          <w:u w:val="single"/>
          <w:lang w:eastAsia="zh-CN"/>
        </w:rPr>
      </w:pPr>
      <w:r>
        <w:rPr>
          <w:rFonts w:hint="eastAsia" w:ascii="宋体" w:cs="宋体"/>
          <w:b/>
          <w:sz w:val="30"/>
          <w:szCs w:val="30"/>
        </w:rPr>
        <w:t>采购项目名称：</w:t>
      </w:r>
      <w:r>
        <w:rPr>
          <w:rFonts w:hint="eastAsia" w:ascii="宋体" w:cs="宋体"/>
          <w:b/>
          <w:sz w:val="30"/>
          <w:szCs w:val="30"/>
          <w:u w:val="single"/>
          <w:lang w:eastAsia="zh-CN"/>
        </w:rPr>
        <w:t>如东县洋口镇中心卫生院眼科显微镜采购项目（第三次）</w:t>
      </w:r>
    </w:p>
    <w:p w14:paraId="1BAF5683">
      <w:pPr>
        <w:rPr>
          <w:rFonts w:ascii="宋体" w:cs="宋体"/>
          <w:b/>
          <w:sz w:val="30"/>
          <w:szCs w:val="30"/>
        </w:rPr>
      </w:pPr>
      <w:r>
        <w:rPr>
          <w:rFonts w:hint="eastAsia" w:ascii="宋体" w:cs="宋体"/>
          <w:b/>
          <w:sz w:val="30"/>
          <w:szCs w:val="30"/>
        </w:rPr>
        <w:t>采购人名称：</w:t>
      </w:r>
      <w:r>
        <w:rPr>
          <w:rFonts w:hint="eastAsia" w:ascii="宋体" w:cs="宋体"/>
          <w:b/>
          <w:sz w:val="30"/>
          <w:szCs w:val="30"/>
          <w:u w:val="single"/>
        </w:rPr>
        <w:t xml:space="preserve">    　如东县洋口镇中心卫生院</w:t>
      </w:r>
    </w:p>
    <w:p w14:paraId="0C555C38">
      <w:pPr>
        <w:pStyle w:val="55"/>
        <w:tabs>
          <w:tab w:val="left" w:pos="2694"/>
        </w:tabs>
        <w:spacing w:before="0" w:after="0" w:line="560" w:lineRule="exact"/>
        <w:ind w:left="0" w:leftChars="0" w:firstLine="0" w:firstLineChars="0"/>
        <w:jc w:val="both"/>
        <w:rPr>
          <w:rFonts w:ascii="宋体" w:hAnsi="宋体" w:cs="宋体"/>
          <w:b/>
          <w:bCs/>
          <w:sz w:val="30"/>
          <w:szCs w:val="30"/>
          <w:u w:val="single"/>
        </w:rPr>
      </w:pPr>
      <w:r>
        <w:rPr>
          <w:rFonts w:hint="eastAsia" w:ascii="宋体" w:hAnsi="宋体" w:cs="宋体"/>
          <w:b/>
          <w:bCs/>
          <w:sz w:val="30"/>
          <w:szCs w:val="30"/>
        </w:rPr>
        <w:t>采购方式：</w:t>
      </w:r>
      <w:r>
        <w:rPr>
          <w:rFonts w:hint="eastAsia" w:ascii="宋体" w:hAnsi="宋体" w:cs="宋体"/>
          <w:b/>
          <w:bCs/>
          <w:sz w:val="30"/>
          <w:szCs w:val="30"/>
          <w:u w:val="single"/>
        </w:rPr>
        <w:t>公开招标</w:t>
      </w:r>
    </w:p>
    <w:p w14:paraId="49DAE2AB">
      <w:pPr>
        <w:pStyle w:val="55"/>
        <w:tabs>
          <w:tab w:val="left" w:pos="2694"/>
        </w:tabs>
        <w:spacing w:before="0" w:after="0" w:line="560" w:lineRule="exact"/>
        <w:ind w:firstLine="151"/>
        <w:jc w:val="center"/>
        <w:rPr>
          <w:rFonts w:ascii="宋体" w:hAnsi="宋体" w:cs="宋体"/>
        </w:rPr>
      </w:pPr>
      <w:r>
        <w:rPr>
          <w:rFonts w:hint="eastAsia" w:ascii="宋体" w:hAnsi="宋体" w:cs="宋体"/>
          <w:b/>
          <w:sz w:val="30"/>
          <w:szCs w:val="30"/>
        </w:rPr>
        <w:t>二</w:t>
      </w:r>
      <w:r>
        <w:rPr>
          <w:rFonts w:hint="eastAsia" w:ascii="宋体" w:hAnsi="宋体" w:cs="宋体"/>
          <w:b/>
          <w:bCs/>
          <w:sz w:val="30"/>
          <w:szCs w:val="30"/>
        </w:rPr>
        <w:t>〇</w:t>
      </w:r>
      <w:r>
        <w:rPr>
          <w:rFonts w:hint="eastAsia" w:ascii="宋体" w:hAnsi="宋体" w:cs="宋体"/>
          <w:b/>
          <w:sz w:val="30"/>
          <w:szCs w:val="30"/>
        </w:rPr>
        <w:t>二</w:t>
      </w:r>
      <w:r>
        <w:rPr>
          <w:rFonts w:hint="eastAsia" w:ascii="宋体" w:hAnsi="宋体" w:cs="宋体"/>
          <w:b/>
          <w:bCs/>
          <w:sz w:val="30"/>
          <w:szCs w:val="30"/>
        </w:rPr>
        <w:t>四</w:t>
      </w:r>
      <w:r>
        <w:rPr>
          <w:rFonts w:hint="eastAsia" w:ascii="宋体" w:hAnsi="宋体" w:cs="宋体"/>
          <w:b/>
          <w:sz w:val="30"/>
          <w:szCs w:val="30"/>
        </w:rPr>
        <w:t>年</w:t>
      </w:r>
      <w:r>
        <w:rPr>
          <w:rFonts w:hint="eastAsia" w:ascii="宋体" w:hAnsi="宋体" w:cs="宋体"/>
          <w:b/>
          <w:sz w:val="30"/>
          <w:szCs w:val="30"/>
          <w:lang w:val="en-US" w:eastAsia="zh-CN"/>
        </w:rPr>
        <w:t>十</w:t>
      </w:r>
      <w:r>
        <w:rPr>
          <w:rFonts w:hint="eastAsia" w:ascii="宋体" w:hAnsi="宋体" w:cs="宋体"/>
          <w:b/>
          <w:sz w:val="30"/>
          <w:szCs w:val="30"/>
        </w:rPr>
        <w:t>月</w:t>
      </w:r>
      <w:r>
        <w:rPr>
          <w:rFonts w:hint="eastAsia" w:ascii="宋体" w:hAnsi="宋体" w:cs="宋体"/>
          <w:b/>
          <w:sz w:val="30"/>
          <w:szCs w:val="30"/>
          <w:lang w:val="en-US" w:eastAsia="zh-CN"/>
        </w:rPr>
        <w:t>十七</w:t>
      </w:r>
      <w:r>
        <w:rPr>
          <w:rFonts w:hint="eastAsia" w:ascii="宋体" w:hAnsi="宋体" w:cs="宋体"/>
          <w:b/>
          <w:sz w:val="30"/>
          <w:szCs w:val="30"/>
        </w:rPr>
        <w:t>日</w:t>
      </w:r>
    </w:p>
    <w:p w14:paraId="03CE5796">
      <w:pPr>
        <w:pStyle w:val="42"/>
        <w:ind w:firstLine="480"/>
      </w:pPr>
    </w:p>
    <w:p w14:paraId="22C8738D">
      <w:pPr>
        <w:pStyle w:val="42"/>
        <w:ind w:firstLine="480"/>
      </w:pPr>
    </w:p>
    <w:p w14:paraId="2B392E9E">
      <w:pPr>
        <w:pStyle w:val="42"/>
        <w:ind w:firstLine="480"/>
      </w:pPr>
    </w:p>
    <w:p w14:paraId="7F956D9E">
      <w:pPr>
        <w:pStyle w:val="13"/>
        <w:ind w:left="1440"/>
      </w:pPr>
    </w:p>
    <w:p w14:paraId="3BAE3644">
      <w:pPr>
        <w:ind w:firstLine="221"/>
        <w:jc w:val="center"/>
        <w:rPr>
          <w:rFonts w:ascii="宋体" w:cs="宋体"/>
          <w:b/>
          <w:sz w:val="44"/>
        </w:rPr>
      </w:pPr>
      <w:r>
        <w:rPr>
          <w:rFonts w:hint="eastAsia" w:ascii="宋体" w:cs="宋体"/>
          <w:b/>
          <w:sz w:val="44"/>
        </w:rPr>
        <w:t>总目录</w:t>
      </w:r>
    </w:p>
    <w:p w14:paraId="3902C97C">
      <w:pPr>
        <w:ind w:firstLine="221"/>
        <w:jc w:val="center"/>
        <w:rPr>
          <w:rFonts w:ascii="宋体" w:cs="宋体"/>
          <w:b/>
          <w:sz w:val="44"/>
        </w:rPr>
      </w:pPr>
    </w:p>
    <w:p w14:paraId="0375FFED">
      <w:pPr>
        <w:pStyle w:val="20"/>
        <w:tabs>
          <w:tab w:val="right" w:leader="dot" w:pos="8943"/>
        </w:tabs>
        <w:spacing w:after="290"/>
        <w:jc w:val="center"/>
        <w:rPr>
          <w:rFonts w:ascii="宋体" w:cs="宋体"/>
          <w:b w:val="0"/>
          <w:bCs w:val="0"/>
          <w:caps w:val="0"/>
          <w:sz w:val="24"/>
          <w:szCs w:val="24"/>
        </w:rPr>
      </w:pPr>
      <w:r>
        <w:rPr>
          <w:rFonts w:hint="eastAsia" w:ascii="宋体" w:cs="宋体"/>
          <w:bCs w:val="0"/>
          <w:caps w:val="0"/>
          <w:sz w:val="24"/>
          <w:szCs w:val="24"/>
        </w:rPr>
        <w:fldChar w:fldCharType="begin"/>
      </w:r>
      <w:r>
        <w:rPr>
          <w:rFonts w:hint="eastAsia" w:ascii="宋体" w:cs="宋体"/>
          <w:bCs w:val="0"/>
          <w:caps w:val="0"/>
          <w:sz w:val="24"/>
          <w:szCs w:val="24"/>
        </w:rPr>
        <w:instrText xml:space="preserve"> TOC \o "1-1" \h \z \u </w:instrText>
      </w:r>
      <w:r>
        <w:rPr>
          <w:rFonts w:hint="eastAsia" w:ascii="宋体" w:cs="宋体"/>
          <w:bCs w:val="0"/>
          <w:caps w:val="0"/>
          <w:sz w:val="24"/>
          <w:szCs w:val="24"/>
        </w:rPr>
        <w:fldChar w:fldCharType="separate"/>
      </w:r>
      <w:r>
        <w:fldChar w:fldCharType="begin"/>
      </w:r>
      <w:r>
        <w:instrText xml:space="preserve"> HYPERLINK \l "_Toc335124678" </w:instrText>
      </w:r>
      <w:r>
        <w:fldChar w:fldCharType="separate"/>
      </w:r>
      <w:r>
        <w:rPr>
          <w:rStyle w:val="32"/>
          <w:rFonts w:hint="eastAsia" w:ascii="宋体" w:cs="宋体"/>
          <w:color w:val="auto"/>
          <w:sz w:val="24"/>
          <w:szCs w:val="24"/>
        </w:rPr>
        <w:t>第一章  招标公告</w:t>
      </w:r>
      <w:r>
        <w:rPr>
          <w:rFonts w:hint="eastAsia" w:ascii="宋体" w:cs="宋体"/>
          <w:sz w:val="24"/>
          <w:szCs w:val="24"/>
        </w:rPr>
        <w:tab/>
      </w:r>
      <w:r>
        <w:rPr>
          <w:rFonts w:hint="eastAsia" w:ascii="宋体" w:cs="宋体"/>
          <w:sz w:val="24"/>
          <w:szCs w:val="24"/>
        </w:rPr>
        <w:t>2</w:t>
      </w:r>
      <w:r>
        <w:rPr>
          <w:rFonts w:hint="eastAsia" w:ascii="宋体" w:cs="宋体"/>
          <w:sz w:val="24"/>
          <w:szCs w:val="24"/>
        </w:rPr>
        <w:fldChar w:fldCharType="end"/>
      </w:r>
    </w:p>
    <w:p w14:paraId="4A2EF9ED">
      <w:pPr>
        <w:pStyle w:val="20"/>
        <w:tabs>
          <w:tab w:val="right" w:leader="dot" w:pos="8943"/>
        </w:tabs>
        <w:spacing w:after="290"/>
        <w:jc w:val="center"/>
        <w:rPr>
          <w:rStyle w:val="32"/>
          <w:rFonts w:ascii="宋体" w:cs="宋体"/>
          <w:b w:val="0"/>
          <w:bCs w:val="0"/>
          <w:caps w:val="0"/>
          <w:color w:val="auto"/>
          <w:sz w:val="24"/>
          <w:szCs w:val="24"/>
        </w:rPr>
      </w:pPr>
      <w:r>
        <w:rPr>
          <w:rStyle w:val="32"/>
          <w:rFonts w:hint="eastAsia" w:ascii="宋体" w:cs="宋体"/>
          <w:color w:val="auto"/>
          <w:sz w:val="24"/>
          <w:szCs w:val="24"/>
        </w:rPr>
        <w:fldChar w:fldCharType="begin"/>
      </w:r>
      <w:r>
        <w:rPr>
          <w:rStyle w:val="32"/>
          <w:rFonts w:hint="eastAsia" w:ascii="宋体" w:cs="宋体"/>
          <w:color w:val="auto"/>
          <w:sz w:val="24"/>
          <w:szCs w:val="24"/>
        </w:rPr>
        <w:instrText xml:space="preserve"> HYPERLINK  \l "_1．招标方式"</w:instrText>
      </w:r>
      <w:r>
        <w:rPr>
          <w:rStyle w:val="32"/>
          <w:rFonts w:hint="eastAsia" w:ascii="宋体" w:cs="宋体"/>
          <w:color w:val="auto"/>
          <w:sz w:val="24"/>
          <w:szCs w:val="24"/>
        </w:rPr>
        <w:fldChar w:fldCharType="separate"/>
      </w:r>
      <w:r>
        <w:rPr>
          <w:rStyle w:val="32"/>
          <w:rFonts w:hint="eastAsia" w:ascii="宋体" w:cs="宋体"/>
          <w:color w:val="auto"/>
          <w:sz w:val="24"/>
          <w:szCs w:val="24"/>
        </w:rPr>
        <w:t>第二章  投</w:t>
      </w:r>
      <w:bookmarkStart w:id="1" w:name="_Hlt358830030"/>
      <w:r>
        <w:rPr>
          <w:rStyle w:val="32"/>
          <w:rFonts w:hint="eastAsia" w:ascii="宋体" w:cs="宋体"/>
          <w:color w:val="auto"/>
          <w:sz w:val="24"/>
          <w:szCs w:val="24"/>
        </w:rPr>
        <w:t>标</w:t>
      </w:r>
      <w:bookmarkEnd w:id="1"/>
      <w:bookmarkStart w:id="2" w:name="_Hlt358830243"/>
      <w:r>
        <w:rPr>
          <w:rStyle w:val="32"/>
          <w:rFonts w:hint="eastAsia" w:ascii="宋体" w:cs="宋体"/>
          <w:color w:val="auto"/>
          <w:sz w:val="24"/>
          <w:szCs w:val="24"/>
        </w:rPr>
        <w:t>人</w:t>
      </w:r>
      <w:bookmarkEnd w:id="2"/>
      <w:bookmarkStart w:id="3" w:name="_Hlt379122886"/>
      <w:bookmarkStart w:id="4" w:name="_Hlt358830017"/>
      <w:bookmarkStart w:id="5" w:name="_Hlt358830016"/>
      <w:r>
        <w:rPr>
          <w:rStyle w:val="32"/>
          <w:rFonts w:hint="eastAsia" w:ascii="宋体" w:cs="宋体"/>
          <w:color w:val="auto"/>
          <w:sz w:val="24"/>
          <w:szCs w:val="24"/>
        </w:rPr>
        <w:t>须</w:t>
      </w:r>
      <w:bookmarkEnd w:id="3"/>
      <w:bookmarkEnd w:id="4"/>
      <w:bookmarkEnd w:id="5"/>
      <w:r>
        <w:rPr>
          <w:rStyle w:val="32"/>
          <w:rFonts w:hint="eastAsia" w:ascii="宋体" w:cs="宋体"/>
          <w:color w:val="auto"/>
          <w:sz w:val="24"/>
          <w:szCs w:val="24"/>
        </w:rPr>
        <w:t>知</w:t>
      </w:r>
      <w:bookmarkStart w:id="6" w:name="_Hlt358830201"/>
      <w:r>
        <w:rPr>
          <w:rStyle w:val="32"/>
          <w:rFonts w:hint="eastAsia" w:ascii="宋体" w:cs="宋体"/>
          <w:color w:val="auto"/>
          <w:sz w:val="24"/>
          <w:szCs w:val="24"/>
        </w:rPr>
        <w:tab/>
      </w:r>
      <w:bookmarkEnd w:id="6"/>
      <w:r>
        <w:rPr>
          <w:rStyle w:val="32"/>
          <w:rFonts w:hint="eastAsia" w:ascii="宋体" w:cs="宋体"/>
          <w:color w:val="auto"/>
          <w:sz w:val="24"/>
          <w:szCs w:val="24"/>
        </w:rPr>
        <w:t>5</w:t>
      </w:r>
    </w:p>
    <w:p w14:paraId="6ACDAC98">
      <w:pPr>
        <w:pStyle w:val="20"/>
        <w:tabs>
          <w:tab w:val="right" w:leader="dot" w:pos="8943"/>
        </w:tabs>
        <w:spacing w:after="290"/>
        <w:jc w:val="center"/>
        <w:rPr>
          <w:rFonts w:ascii="宋体" w:cs="宋体"/>
          <w:b w:val="0"/>
          <w:bCs w:val="0"/>
          <w:caps w:val="0"/>
          <w:sz w:val="24"/>
          <w:szCs w:val="24"/>
        </w:rPr>
      </w:pPr>
      <w:r>
        <w:rPr>
          <w:rStyle w:val="32"/>
          <w:rFonts w:hint="eastAsia" w:ascii="宋体" w:cs="宋体"/>
          <w:color w:val="auto"/>
          <w:sz w:val="24"/>
          <w:szCs w:val="24"/>
        </w:rPr>
        <w:fldChar w:fldCharType="end"/>
      </w:r>
      <w:r>
        <w:fldChar w:fldCharType="begin"/>
      </w:r>
      <w:r>
        <w:instrText xml:space="preserve"> HYPERLINK \l "_Toc335124681" </w:instrText>
      </w:r>
      <w:r>
        <w:fldChar w:fldCharType="separate"/>
      </w:r>
      <w:r>
        <w:rPr>
          <w:rStyle w:val="32"/>
          <w:rFonts w:hint="eastAsia" w:ascii="宋体" w:cs="宋体"/>
          <w:color w:val="auto"/>
          <w:sz w:val="24"/>
          <w:szCs w:val="24"/>
        </w:rPr>
        <w:t>第三章  项目需求</w:t>
      </w:r>
      <w:r>
        <w:rPr>
          <w:rFonts w:hint="eastAsia" w:ascii="宋体" w:cs="宋体"/>
          <w:sz w:val="24"/>
          <w:szCs w:val="24"/>
        </w:rPr>
        <w:tab/>
      </w:r>
      <w:r>
        <w:rPr>
          <w:rFonts w:hint="eastAsia" w:ascii="宋体" w:cs="宋体"/>
          <w:sz w:val="24"/>
          <w:szCs w:val="24"/>
        </w:rPr>
        <w:fldChar w:fldCharType="end"/>
      </w:r>
      <w:r>
        <w:rPr>
          <w:rFonts w:hint="eastAsia" w:ascii="宋体" w:cs="宋体"/>
          <w:sz w:val="24"/>
          <w:szCs w:val="24"/>
        </w:rPr>
        <w:t>18</w:t>
      </w:r>
    </w:p>
    <w:p w14:paraId="4BAF4FB7">
      <w:pPr>
        <w:pStyle w:val="20"/>
        <w:tabs>
          <w:tab w:val="right" w:leader="dot" w:pos="8943"/>
        </w:tabs>
        <w:spacing w:after="290"/>
        <w:ind w:firstLine="100"/>
        <w:jc w:val="center"/>
        <w:rPr>
          <w:rFonts w:ascii="宋体" w:cs="宋体"/>
          <w:b w:val="0"/>
          <w:bCs w:val="0"/>
          <w:caps w:val="0"/>
          <w:sz w:val="24"/>
          <w:szCs w:val="24"/>
        </w:rPr>
      </w:pPr>
      <w:r>
        <w:fldChar w:fldCharType="begin"/>
      </w:r>
      <w:r>
        <w:instrText xml:space="preserve"> HYPERLINK \l "_Toc335124682" </w:instrText>
      </w:r>
      <w:r>
        <w:fldChar w:fldCharType="separate"/>
      </w:r>
      <w:r>
        <w:rPr>
          <w:rStyle w:val="32"/>
          <w:rFonts w:hint="eastAsia" w:ascii="宋体" w:cs="宋体"/>
          <w:color w:val="auto"/>
          <w:sz w:val="24"/>
          <w:szCs w:val="24"/>
        </w:rPr>
        <w:t>第四</w:t>
      </w:r>
      <w:bookmarkStart w:id="7" w:name="_Hlt356406557"/>
      <w:r>
        <w:rPr>
          <w:rStyle w:val="32"/>
          <w:rFonts w:hint="eastAsia" w:ascii="宋体" w:cs="宋体"/>
          <w:color w:val="auto"/>
          <w:sz w:val="24"/>
          <w:szCs w:val="24"/>
        </w:rPr>
        <w:t>章</w:t>
      </w:r>
      <w:bookmarkEnd w:id="7"/>
      <w:r>
        <w:rPr>
          <w:rStyle w:val="32"/>
          <w:rFonts w:hint="eastAsia" w:ascii="宋体" w:cs="宋体"/>
          <w:color w:val="auto"/>
          <w:sz w:val="24"/>
          <w:szCs w:val="24"/>
        </w:rPr>
        <w:t xml:space="preserve">  评标方法</w:t>
      </w:r>
      <w:bookmarkStart w:id="8" w:name="_Hlt365380761"/>
      <w:r>
        <w:rPr>
          <w:rStyle w:val="32"/>
          <w:rFonts w:hint="eastAsia" w:ascii="宋体" w:cs="宋体"/>
          <w:color w:val="auto"/>
          <w:sz w:val="24"/>
          <w:szCs w:val="24"/>
        </w:rPr>
        <w:t>与</w:t>
      </w:r>
      <w:bookmarkEnd w:id="8"/>
      <w:bookmarkStart w:id="9" w:name="_Hlt380502802"/>
      <w:r>
        <w:rPr>
          <w:rStyle w:val="32"/>
          <w:rFonts w:hint="eastAsia" w:ascii="宋体" w:cs="宋体"/>
          <w:color w:val="auto"/>
          <w:sz w:val="24"/>
          <w:szCs w:val="24"/>
        </w:rPr>
        <w:t>评</w:t>
      </w:r>
      <w:bookmarkEnd w:id="9"/>
      <w:bookmarkStart w:id="10" w:name="_Hlt379122865"/>
      <w:r>
        <w:rPr>
          <w:rStyle w:val="32"/>
          <w:rFonts w:hint="eastAsia" w:ascii="宋体" w:cs="宋体"/>
          <w:color w:val="auto"/>
          <w:sz w:val="24"/>
          <w:szCs w:val="24"/>
        </w:rPr>
        <w:t>标</w:t>
      </w:r>
      <w:bookmarkEnd w:id="10"/>
      <w:bookmarkStart w:id="11" w:name="_Hlt428890716"/>
      <w:bookmarkStart w:id="12" w:name="_Hlt428890717"/>
      <w:r>
        <w:rPr>
          <w:rStyle w:val="32"/>
          <w:rFonts w:hint="eastAsia" w:ascii="宋体" w:cs="宋体"/>
          <w:color w:val="auto"/>
          <w:sz w:val="24"/>
          <w:szCs w:val="24"/>
        </w:rPr>
        <w:t>标</w:t>
      </w:r>
      <w:bookmarkEnd w:id="11"/>
      <w:bookmarkEnd w:id="12"/>
      <w:bookmarkStart w:id="13" w:name="_Hlt365380781"/>
      <w:r>
        <w:rPr>
          <w:rStyle w:val="32"/>
          <w:rFonts w:hint="eastAsia" w:ascii="宋体" w:cs="宋体"/>
          <w:color w:val="auto"/>
          <w:sz w:val="24"/>
          <w:szCs w:val="24"/>
        </w:rPr>
        <w:t>准</w:t>
      </w:r>
      <w:bookmarkEnd w:id="13"/>
      <w:bookmarkStart w:id="14" w:name="_Hlt363208564"/>
      <w:bookmarkStart w:id="15" w:name="_Hlt356291596"/>
      <w:r>
        <w:rPr>
          <w:rFonts w:hint="eastAsia" w:ascii="宋体" w:cs="宋体"/>
          <w:sz w:val="24"/>
          <w:szCs w:val="24"/>
        </w:rPr>
        <w:tab/>
      </w:r>
      <w:bookmarkEnd w:id="14"/>
      <w:bookmarkEnd w:id="15"/>
      <w:r>
        <w:rPr>
          <w:rFonts w:hint="eastAsia" w:ascii="宋体" w:cs="宋体"/>
          <w:sz w:val="24"/>
          <w:szCs w:val="24"/>
        </w:rPr>
        <w:fldChar w:fldCharType="end"/>
      </w:r>
      <w:r>
        <w:rPr>
          <w:rStyle w:val="32"/>
          <w:rFonts w:hint="eastAsia" w:ascii="宋体" w:cs="宋体"/>
          <w:color w:val="auto"/>
          <w:sz w:val="24"/>
          <w:szCs w:val="24"/>
          <w:u w:val="none"/>
        </w:rPr>
        <w:t>20</w:t>
      </w:r>
    </w:p>
    <w:p w14:paraId="2AC2E890">
      <w:pPr>
        <w:pStyle w:val="20"/>
        <w:tabs>
          <w:tab w:val="right" w:leader="dot" w:pos="8943"/>
        </w:tabs>
        <w:spacing w:after="290"/>
        <w:ind w:firstLine="100"/>
        <w:jc w:val="center"/>
        <w:rPr>
          <w:rStyle w:val="32"/>
          <w:rFonts w:ascii="宋体" w:cs="宋体"/>
          <w:color w:val="auto"/>
          <w:sz w:val="24"/>
          <w:szCs w:val="24"/>
          <w:u w:val="none"/>
        </w:rPr>
      </w:pPr>
      <w:r>
        <w:fldChar w:fldCharType="begin"/>
      </w:r>
      <w:r>
        <w:instrText xml:space="preserve"> HYPERLINK \l "_Toc335124683" </w:instrText>
      </w:r>
      <w:r>
        <w:fldChar w:fldCharType="separate"/>
      </w:r>
      <w:r>
        <w:rPr>
          <w:rStyle w:val="32"/>
          <w:rFonts w:hint="eastAsia" w:ascii="宋体" w:cs="宋体"/>
          <w:color w:val="auto"/>
          <w:sz w:val="24"/>
          <w:szCs w:val="24"/>
        </w:rPr>
        <w:t>第五章  投标文</w:t>
      </w:r>
      <w:bookmarkStart w:id="16" w:name="_Hlt365380788"/>
      <w:r>
        <w:rPr>
          <w:rStyle w:val="32"/>
          <w:rFonts w:hint="eastAsia" w:ascii="宋体" w:cs="宋体"/>
          <w:color w:val="auto"/>
          <w:sz w:val="24"/>
          <w:szCs w:val="24"/>
        </w:rPr>
        <w:t>件</w:t>
      </w:r>
      <w:bookmarkEnd w:id="16"/>
      <w:bookmarkStart w:id="17" w:name="_Hlt380654210"/>
      <w:bookmarkStart w:id="18" w:name="_Hlt379122847"/>
      <w:bookmarkStart w:id="19" w:name="_Hlt379122848"/>
      <w:r>
        <w:rPr>
          <w:rStyle w:val="32"/>
          <w:rFonts w:hint="eastAsia" w:ascii="宋体" w:cs="宋体"/>
          <w:color w:val="auto"/>
          <w:sz w:val="24"/>
          <w:szCs w:val="24"/>
        </w:rPr>
        <w:t>格</w:t>
      </w:r>
      <w:bookmarkEnd w:id="17"/>
      <w:bookmarkEnd w:id="18"/>
      <w:bookmarkEnd w:id="19"/>
      <w:bookmarkStart w:id="20" w:name="_Hlt365999235"/>
      <w:r>
        <w:rPr>
          <w:rStyle w:val="32"/>
          <w:rFonts w:hint="eastAsia" w:ascii="宋体" w:cs="宋体"/>
          <w:color w:val="auto"/>
          <w:sz w:val="24"/>
          <w:szCs w:val="24"/>
        </w:rPr>
        <w:t>式</w:t>
      </w:r>
      <w:bookmarkEnd w:id="20"/>
      <w:bookmarkStart w:id="21" w:name="_Hlt363208590"/>
      <w:bookmarkStart w:id="22" w:name="_Hlt363208613"/>
      <w:bookmarkStart w:id="23" w:name="_Hlt365821434"/>
      <w:bookmarkStart w:id="24" w:name="_Hlt365821433"/>
      <w:r>
        <w:rPr>
          <w:rFonts w:hint="eastAsia" w:ascii="宋体" w:cs="宋体"/>
          <w:sz w:val="24"/>
          <w:szCs w:val="24"/>
        </w:rPr>
        <w:tab/>
      </w:r>
      <w:bookmarkEnd w:id="21"/>
      <w:bookmarkEnd w:id="22"/>
      <w:bookmarkEnd w:id="23"/>
      <w:bookmarkEnd w:id="24"/>
      <w:r>
        <w:rPr>
          <w:rFonts w:hint="eastAsia" w:ascii="宋体" w:cs="宋体"/>
          <w:sz w:val="24"/>
          <w:szCs w:val="24"/>
        </w:rPr>
        <w:fldChar w:fldCharType="end"/>
      </w:r>
      <w:r>
        <w:rPr>
          <w:rStyle w:val="32"/>
          <w:rFonts w:hint="eastAsia" w:ascii="宋体" w:cs="宋体"/>
          <w:color w:val="auto"/>
          <w:sz w:val="24"/>
          <w:szCs w:val="24"/>
          <w:u w:val="none"/>
        </w:rPr>
        <w:t>22</w:t>
      </w:r>
    </w:p>
    <w:p w14:paraId="0AF82919">
      <w:pPr>
        <w:pStyle w:val="20"/>
        <w:tabs>
          <w:tab w:val="right" w:leader="dot" w:pos="8943"/>
        </w:tabs>
        <w:spacing w:after="290"/>
        <w:jc w:val="center"/>
        <w:rPr>
          <w:rStyle w:val="32"/>
          <w:rFonts w:ascii="宋体" w:cs="宋体"/>
          <w:color w:val="auto"/>
          <w:sz w:val="24"/>
          <w:szCs w:val="24"/>
          <w:u w:val="none"/>
        </w:rPr>
      </w:pPr>
    </w:p>
    <w:p w14:paraId="4DB46595">
      <w:r>
        <w:rPr>
          <w:rFonts w:hint="eastAsia" w:ascii="宋体" w:cs="宋体"/>
          <w:bCs/>
          <w:caps/>
        </w:rPr>
        <w:fldChar w:fldCharType="end"/>
      </w:r>
    </w:p>
    <w:bookmarkEnd w:id="0"/>
    <w:p w14:paraId="1B12F66C">
      <w:pPr>
        <w:pStyle w:val="54"/>
        <w:spacing w:afterLines="0" w:line="460" w:lineRule="exact"/>
        <w:ind w:firstLine="480"/>
        <w:rPr>
          <w:rFonts w:ascii="宋体" w:hAnsi="宋体" w:eastAsia="宋体" w:cs="宋体"/>
        </w:rPr>
        <w:sectPr>
          <w:headerReference r:id="rId3" w:type="first"/>
          <w:footerReference r:id="rId6" w:type="first"/>
          <w:footerReference r:id="rId4" w:type="default"/>
          <w:footerReference r:id="rId5" w:type="even"/>
          <w:pgSz w:w="11906" w:h="16838"/>
          <w:pgMar w:top="1440" w:right="1226" w:bottom="1440" w:left="1440" w:header="851" w:footer="1134" w:gutter="0"/>
          <w:pgNumType w:start="0"/>
          <w:cols w:space="720" w:num="1"/>
          <w:titlePg/>
          <w:docGrid w:type="lines" w:linePitch="290" w:charSpace="0"/>
        </w:sectPr>
      </w:pPr>
      <w:bookmarkStart w:id="25" w:name="_Toc335123850"/>
      <w:bookmarkStart w:id="26" w:name="_Toc335124678"/>
      <w:bookmarkStart w:id="27" w:name="_Toc307561707"/>
    </w:p>
    <w:bookmarkEnd w:id="25"/>
    <w:bookmarkEnd w:id="26"/>
    <w:bookmarkEnd w:id="27"/>
    <w:p w14:paraId="7F6387BA">
      <w:pPr>
        <w:pStyle w:val="54"/>
        <w:spacing w:afterLines="0" w:line="460" w:lineRule="exact"/>
        <w:rPr>
          <w:rFonts w:hint="eastAsia" w:ascii="宋体" w:hAnsi="宋体" w:eastAsia="宋体" w:cs="宋体"/>
          <w:lang w:eastAsia="zh-CN"/>
        </w:rPr>
      </w:pPr>
      <w:r>
        <w:rPr>
          <w:rFonts w:hint="eastAsia" w:ascii="宋体" w:hAnsi="宋体" w:eastAsia="宋体" w:cs="宋体"/>
        </w:rPr>
        <w:t>第一章  招标公告</w:t>
      </w:r>
      <w:r>
        <w:rPr>
          <w:rFonts w:hint="eastAsia" w:ascii="宋体" w:hAnsi="宋体" w:eastAsia="宋体" w:cs="宋体"/>
          <w:lang w:eastAsia="zh-CN"/>
        </w:rPr>
        <w:t>（</w:t>
      </w:r>
      <w:r>
        <w:rPr>
          <w:rFonts w:hint="eastAsia" w:ascii="宋体" w:hAnsi="宋体" w:eastAsia="宋体" w:cs="宋体"/>
          <w:lang w:val="en-US" w:eastAsia="zh-CN"/>
        </w:rPr>
        <w:t>重新招标</w:t>
      </w:r>
      <w:r>
        <w:rPr>
          <w:rFonts w:hint="eastAsia" w:ascii="宋体" w:hAnsi="宋体" w:eastAsia="宋体" w:cs="宋体"/>
          <w:lang w:eastAsia="zh-CN"/>
        </w:rPr>
        <w:t>）</w:t>
      </w:r>
    </w:p>
    <w:p w14:paraId="7C433998">
      <w:pPr>
        <w:adjustRightInd w:val="0"/>
        <w:snapToGrid w:val="0"/>
        <w:spacing w:line="360" w:lineRule="auto"/>
        <w:ind w:firstLine="480" w:firstLineChars="200"/>
      </w:pPr>
      <w:r>
        <w:rPr>
          <w:rFonts w:hint="eastAsia"/>
        </w:rPr>
        <w:t>项目概况</w:t>
      </w:r>
    </w:p>
    <w:p w14:paraId="4EF91106">
      <w:pPr>
        <w:adjustRightInd w:val="0"/>
        <w:snapToGrid w:val="0"/>
        <w:spacing w:line="360" w:lineRule="auto"/>
        <w:ind w:firstLine="480" w:firstLineChars="200"/>
      </w:pPr>
      <w:r>
        <w:rPr>
          <w:rFonts w:hint="eastAsia"/>
          <w:lang w:eastAsia="zh-CN"/>
        </w:rPr>
        <w:t>如东县洋口镇中心卫生院眼科显微镜采购项目（第三次）</w:t>
      </w:r>
      <w:r>
        <w:rPr>
          <w:rFonts w:hint="eastAsia"/>
        </w:rPr>
        <w:t>的潜在投标人应在“如东县限额交易网”获取招标文件，并于</w:t>
      </w:r>
      <w:r>
        <w:rPr>
          <w:rFonts w:hint="eastAsia"/>
          <w:b/>
        </w:rPr>
        <w:t>2024年</w:t>
      </w:r>
      <w:r>
        <w:rPr>
          <w:rFonts w:hint="eastAsia"/>
          <w:b/>
          <w:lang w:val="en-US" w:eastAsia="zh-CN"/>
        </w:rPr>
        <w:t>11月7日</w:t>
      </w:r>
      <w:r>
        <w:rPr>
          <w:rFonts w:hint="eastAsia"/>
          <w:b/>
        </w:rPr>
        <w:t>上午9时30分</w:t>
      </w:r>
      <w:r>
        <w:rPr>
          <w:rFonts w:hint="eastAsia"/>
        </w:rPr>
        <w:t>（北京时间）前递交投标文件。</w:t>
      </w:r>
    </w:p>
    <w:p w14:paraId="051C30A0">
      <w:pPr>
        <w:adjustRightInd w:val="0"/>
        <w:snapToGrid w:val="0"/>
        <w:spacing w:line="360" w:lineRule="auto"/>
        <w:ind w:firstLine="480" w:firstLineChars="200"/>
      </w:pPr>
      <w:r>
        <w:rPr>
          <w:rFonts w:hint="eastAsia"/>
        </w:rPr>
        <w:t>一、项目基本情况</w:t>
      </w:r>
    </w:p>
    <w:p w14:paraId="0A19A2F2">
      <w:pPr>
        <w:adjustRightInd w:val="0"/>
        <w:snapToGrid w:val="0"/>
        <w:spacing w:line="360" w:lineRule="auto"/>
        <w:ind w:firstLine="480" w:firstLineChars="200"/>
      </w:pPr>
      <w:r>
        <w:rPr>
          <w:rFonts w:hint="eastAsia"/>
        </w:rPr>
        <w:t>项目编号：YKC20240403111G</w:t>
      </w:r>
    </w:p>
    <w:p w14:paraId="4E814DAC">
      <w:pPr>
        <w:adjustRightInd w:val="0"/>
        <w:snapToGrid w:val="0"/>
        <w:spacing w:line="360" w:lineRule="auto"/>
        <w:ind w:firstLine="480" w:firstLineChars="200"/>
      </w:pPr>
      <w:r>
        <w:rPr>
          <w:rFonts w:hint="eastAsia"/>
        </w:rPr>
        <w:t>项目名称：</w:t>
      </w:r>
      <w:r>
        <w:rPr>
          <w:rFonts w:hint="eastAsia"/>
          <w:lang w:eastAsia="zh-CN"/>
        </w:rPr>
        <w:t>如东县洋口镇中心卫生院眼科显微镜采购项目（第三次）</w:t>
      </w:r>
      <w:r>
        <w:rPr>
          <w:rFonts w:hint="eastAsia"/>
        </w:rPr>
        <w:t>。</w:t>
      </w:r>
    </w:p>
    <w:p w14:paraId="64B0AAB0">
      <w:pPr>
        <w:adjustRightInd w:val="0"/>
        <w:snapToGrid w:val="0"/>
        <w:spacing w:line="360" w:lineRule="auto"/>
        <w:ind w:firstLine="480" w:firstLineChars="200"/>
      </w:pPr>
      <w:bookmarkStart w:id="28" w:name="_Hlk76656052"/>
      <w:r>
        <w:rPr>
          <w:rFonts w:hint="eastAsia"/>
        </w:rPr>
        <w:t>预算金额：35万元；</w:t>
      </w:r>
    </w:p>
    <w:p w14:paraId="129EDF23">
      <w:pPr>
        <w:adjustRightInd w:val="0"/>
        <w:snapToGrid w:val="0"/>
        <w:spacing w:line="360" w:lineRule="auto"/>
        <w:ind w:firstLine="480" w:firstLineChars="200"/>
      </w:pPr>
      <w:r>
        <w:rPr>
          <w:rFonts w:hint="eastAsia"/>
        </w:rPr>
        <w:t>最高限价（招标控制价）：35万元，报价超过招标控制价的为无效报价。</w:t>
      </w:r>
    </w:p>
    <w:bookmarkEnd w:id="28"/>
    <w:p w14:paraId="6BC30056">
      <w:pPr>
        <w:adjustRightInd w:val="0"/>
        <w:snapToGrid w:val="0"/>
        <w:spacing w:line="360" w:lineRule="auto"/>
        <w:ind w:firstLine="480" w:firstLineChars="200"/>
      </w:pPr>
      <w:r>
        <w:rPr>
          <w:rFonts w:hint="eastAsia"/>
        </w:rPr>
        <w:t>采购需求：</w:t>
      </w:r>
      <w:r>
        <w:rPr>
          <w:rFonts w:hint="eastAsia"/>
          <w:lang w:eastAsia="zh-CN"/>
        </w:rPr>
        <w:t>如东县洋口镇中心卫生院眼科显微镜采购项目（第三次）</w:t>
      </w:r>
      <w:r>
        <w:rPr>
          <w:rFonts w:hint="eastAsia"/>
        </w:rPr>
        <w:t>。具体内容详见招标文件，请仔细研究。</w:t>
      </w:r>
    </w:p>
    <w:p w14:paraId="0F1718E8">
      <w:pPr>
        <w:adjustRightInd w:val="0"/>
        <w:snapToGrid w:val="0"/>
        <w:spacing w:line="360" w:lineRule="auto"/>
        <w:ind w:firstLine="480" w:firstLineChars="200"/>
      </w:pPr>
      <w:r>
        <w:rPr>
          <w:rFonts w:hint="eastAsia"/>
          <w:lang w:val="zh-CN"/>
        </w:rPr>
        <w:t>合同履行期限：</w:t>
      </w:r>
      <w:r>
        <w:rPr>
          <w:rFonts w:hint="eastAsia"/>
        </w:rPr>
        <w:t>签订合同后30日历天内供货、安装完毕并保证一次性通过验收。</w:t>
      </w:r>
    </w:p>
    <w:p w14:paraId="00521DED">
      <w:pPr>
        <w:adjustRightInd w:val="0"/>
        <w:snapToGrid w:val="0"/>
        <w:spacing w:line="360" w:lineRule="auto"/>
        <w:ind w:firstLine="480" w:firstLineChars="200"/>
        <w:rPr>
          <w:lang w:val="zh-CN"/>
        </w:rPr>
      </w:pPr>
      <w:r>
        <w:rPr>
          <w:rFonts w:hint="eastAsia"/>
        </w:rPr>
        <w:t>本次招标不接受联合体投标。</w:t>
      </w:r>
    </w:p>
    <w:p w14:paraId="387FBADF">
      <w:pPr>
        <w:adjustRightInd w:val="0"/>
        <w:snapToGrid w:val="0"/>
        <w:spacing w:line="360" w:lineRule="auto"/>
        <w:ind w:firstLine="480" w:firstLineChars="200"/>
      </w:pPr>
      <w:r>
        <w:rPr>
          <w:rFonts w:hint="eastAsia"/>
        </w:rPr>
        <w:t>二、申请人的资格要求：</w:t>
      </w:r>
    </w:p>
    <w:p w14:paraId="3B334461">
      <w:pPr>
        <w:adjustRightInd w:val="0"/>
        <w:snapToGrid w:val="0"/>
        <w:spacing w:line="360" w:lineRule="auto"/>
        <w:ind w:firstLine="480" w:firstLineChars="200"/>
      </w:pPr>
      <w:r>
        <w:rPr>
          <w:rFonts w:hint="eastAsia"/>
        </w:rPr>
        <w:t>1、具备《中华人民共和国政府采购法》第22条所规定的条件；</w:t>
      </w:r>
    </w:p>
    <w:p w14:paraId="2D2057F1">
      <w:pPr>
        <w:adjustRightInd w:val="0"/>
        <w:snapToGrid w:val="0"/>
        <w:spacing w:line="360" w:lineRule="auto"/>
        <w:ind w:firstLine="480" w:firstLineChars="200"/>
      </w:pPr>
      <w:r>
        <w:rPr>
          <w:rFonts w:hint="eastAsia"/>
        </w:rPr>
        <w:t>2、未被“信用中国”网站列入失信被执行人、重大税收违法案件当事人名单、政府采购严重失信行为记录名单；</w:t>
      </w:r>
    </w:p>
    <w:p w14:paraId="30D1AA7E">
      <w:pPr>
        <w:adjustRightInd w:val="0"/>
        <w:snapToGrid w:val="0"/>
        <w:spacing w:line="360" w:lineRule="auto"/>
        <w:ind w:firstLine="480" w:firstLineChars="200"/>
      </w:pPr>
      <w:r>
        <w:rPr>
          <w:rFonts w:hint="eastAsia"/>
        </w:rPr>
        <w:t>3、本项目的特定资格要求：投标人为经销商的应具有医疗器械经营许可证或经营备案凭证（投标产品须在其经营范围内）；投标人为制造商的应具有医疗器械生产许可证（投标产品须在其生产范围内）；如为经销商，另须提供由制造商出具的授权书。</w:t>
      </w:r>
    </w:p>
    <w:p w14:paraId="35EF0B72">
      <w:pPr>
        <w:adjustRightInd w:val="0"/>
        <w:snapToGrid w:val="0"/>
        <w:spacing w:line="360" w:lineRule="auto"/>
        <w:ind w:firstLine="480" w:firstLineChars="200"/>
      </w:pPr>
      <w:r>
        <w:rPr>
          <w:rFonts w:hint="eastAsia"/>
        </w:rPr>
        <w:t>4、落实政府采购政策需满足的资格要求：无。</w:t>
      </w:r>
    </w:p>
    <w:p w14:paraId="5D78843B">
      <w:pPr>
        <w:adjustRightInd w:val="0"/>
        <w:snapToGrid w:val="0"/>
        <w:spacing w:line="360" w:lineRule="auto"/>
        <w:ind w:firstLine="480" w:firstLineChars="200"/>
      </w:pPr>
      <w:r>
        <w:rPr>
          <w:rFonts w:hint="eastAsia"/>
        </w:rPr>
        <w:t>三、获取招标文件</w:t>
      </w:r>
    </w:p>
    <w:p w14:paraId="0BA3B0EB">
      <w:pPr>
        <w:adjustRightInd w:val="0"/>
        <w:snapToGrid w:val="0"/>
        <w:spacing w:line="360" w:lineRule="auto"/>
        <w:ind w:firstLine="480" w:firstLineChars="200"/>
      </w:pPr>
      <w:r>
        <w:rPr>
          <w:rFonts w:hint="eastAsia"/>
        </w:rPr>
        <w:t>时间：2024年</w:t>
      </w:r>
      <w:r>
        <w:rPr>
          <w:rFonts w:hint="eastAsia"/>
          <w:lang w:val="en-US" w:eastAsia="zh-CN"/>
        </w:rPr>
        <w:t>10</w:t>
      </w:r>
      <w:r>
        <w:rPr>
          <w:rFonts w:hint="eastAsia"/>
        </w:rPr>
        <w:t>月</w:t>
      </w:r>
      <w:r>
        <w:rPr>
          <w:rFonts w:hint="eastAsia"/>
          <w:lang w:val="en-US" w:eastAsia="zh-CN"/>
        </w:rPr>
        <w:t>17</w:t>
      </w:r>
      <w:r>
        <w:rPr>
          <w:rFonts w:hint="eastAsia"/>
        </w:rPr>
        <w:t>日至</w:t>
      </w:r>
      <w:r>
        <w:rPr>
          <w:rFonts w:hint="eastAsia"/>
          <w:b/>
        </w:rPr>
        <w:t>2024年</w:t>
      </w:r>
      <w:r>
        <w:rPr>
          <w:rFonts w:hint="eastAsia"/>
          <w:b/>
          <w:lang w:val="en-US" w:eastAsia="zh-CN"/>
        </w:rPr>
        <w:t>11月7日</w:t>
      </w:r>
      <w:r>
        <w:rPr>
          <w:rFonts w:hint="eastAsia"/>
          <w:b/>
        </w:rPr>
        <w:t>上午9时30分</w:t>
      </w:r>
    </w:p>
    <w:p w14:paraId="05223063">
      <w:pPr>
        <w:adjustRightInd w:val="0"/>
        <w:snapToGrid w:val="0"/>
        <w:spacing w:line="360" w:lineRule="auto"/>
        <w:ind w:firstLine="480" w:firstLineChars="200"/>
        <w:rPr>
          <w:shd w:val="clear" w:color="auto" w:fill="FFFFFF"/>
        </w:rPr>
      </w:pPr>
      <w:r>
        <w:rPr>
          <w:rFonts w:hint="eastAsia"/>
        </w:rPr>
        <w:t>地点：</w:t>
      </w:r>
      <w:r>
        <w:rPr>
          <w:rFonts w:hint="eastAsia"/>
          <w:shd w:val="clear" w:color="auto" w:fill="FFFFFF"/>
        </w:rPr>
        <w:t>“如东县限额交易网-项目投标方”</w:t>
      </w:r>
    </w:p>
    <w:p w14:paraId="3B7DB154">
      <w:pPr>
        <w:adjustRightInd w:val="0"/>
        <w:snapToGrid w:val="0"/>
        <w:spacing w:line="360" w:lineRule="auto"/>
        <w:ind w:firstLine="482" w:firstLineChars="200"/>
        <w:rPr>
          <w:kern w:val="0"/>
        </w:rPr>
      </w:pPr>
      <w:r>
        <w:rPr>
          <w:rFonts w:hint="eastAsia"/>
          <w:b/>
          <w:bCs/>
        </w:rPr>
        <w:t>方式：</w:t>
      </w:r>
      <w:r>
        <w:rPr>
          <w:rFonts w:hint="eastAsia"/>
          <w:shd w:val="clear" w:color="auto" w:fill="FFFFFF"/>
        </w:rPr>
        <w:t>凡有意参与投标的供应商须登录“如东县限额交易网”，并自行下载招标文件。</w:t>
      </w:r>
    </w:p>
    <w:p w14:paraId="5906213F">
      <w:pPr>
        <w:adjustRightInd w:val="0"/>
        <w:snapToGrid w:val="0"/>
        <w:spacing w:line="360" w:lineRule="auto"/>
        <w:ind w:firstLine="480" w:firstLineChars="200"/>
      </w:pPr>
      <w:r>
        <w:rPr>
          <w:rFonts w:hint="eastAsia"/>
        </w:rPr>
        <w:t>四、提交投标文件截止时间、开标时间和地点</w:t>
      </w:r>
    </w:p>
    <w:p w14:paraId="1691506B">
      <w:pPr>
        <w:adjustRightInd w:val="0"/>
        <w:snapToGrid w:val="0"/>
        <w:spacing w:line="360" w:lineRule="auto"/>
        <w:ind w:firstLine="480" w:firstLineChars="200"/>
      </w:pPr>
      <w:r>
        <w:rPr>
          <w:rFonts w:hint="eastAsia"/>
        </w:rPr>
        <w:t>提交投标文件截止时间、开标时间</w:t>
      </w:r>
      <w:r>
        <w:rPr>
          <w:rFonts w:hint="eastAsia"/>
          <w:b/>
        </w:rPr>
        <w:t>：2024年</w:t>
      </w:r>
      <w:r>
        <w:rPr>
          <w:rFonts w:hint="eastAsia"/>
          <w:b/>
          <w:lang w:val="en-US" w:eastAsia="zh-CN"/>
        </w:rPr>
        <w:t>11月7日</w:t>
      </w:r>
      <w:r>
        <w:rPr>
          <w:rFonts w:hint="eastAsia"/>
          <w:b/>
        </w:rPr>
        <w:t>上午9时30分</w:t>
      </w:r>
      <w:bookmarkStart w:id="77" w:name="_GoBack"/>
      <w:bookmarkEnd w:id="77"/>
      <w:r>
        <w:rPr>
          <w:rFonts w:hint="eastAsia"/>
          <w:shd w:val="clear" w:color="auto" w:fill="FFFFFF"/>
        </w:rPr>
        <w:t>（北京时间）</w:t>
      </w:r>
      <w:r>
        <w:rPr>
          <w:rFonts w:hint="eastAsia"/>
        </w:rPr>
        <w:t>。</w:t>
      </w:r>
    </w:p>
    <w:p w14:paraId="7B94F409">
      <w:pPr>
        <w:adjustRightInd w:val="0"/>
        <w:snapToGrid w:val="0"/>
        <w:spacing w:line="360" w:lineRule="auto"/>
        <w:ind w:firstLine="480" w:firstLineChars="200"/>
        <w:rPr>
          <w:shd w:val="clear" w:color="auto" w:fill="FFFFFF"/>
        </w:rPr>
      </w:pPr>
      <w:r>
        <w:rPr>
          <w:rFonts w:hint="eastAsia"/>
          <w:shd w:val="clear" w:color="auto" w:fill="FFFFFF"/>
        </w:rPr>
        <w:t>地点：本项目采用不见面招投标，开标当日，投标人不必抵达开标现场，仅需在任意地点通过“如东县限额交易网-项目投标方”参加开标会议。</w:t>
      </w:r>
    </w:p>
    <w:p w14:paraId="34773A88">
      <w:pPr>
        <w:adjustRightInd w:val="0"/>
        <w:snapToGrid w:val="0"/>
        <w:spacing w:line="360" w:lineRule="auto"/>
        <w:ind w:firstLine="480" w:firstLineChars="200"/>
      </w:pPr>
      <w:r>
        <w:rPr>
          <w:rFonts w:hint="eastAsia"/>
        </w:rPr>
        <w:t>五、公告期限</w:t>
      </w:r>
    </w:p>
    <w:p w14:paraId="0ADB313A">
      <w:pPr>
        <w:adjustRightInd w:val="0"/>
        <w:snapToGrid w:val="0"/>
        <w:spacing w:line="360" w:lineRule="auto"/>
        <w:ind w:firstLine="480" w:firstLineChars="200"/>
      </w:pPr>
      <w:r>
        <w:rPr>
          <w:rFonts w:hint="eastAsia"/>
        </w:rPr>
        <w:t>自本公告发布之日起5个工作日。</w:t>
      </w:r>
    </w:p>
    <w:p w14:paraId="3CF1E2FC">
      <w:pPr>
        <w:adjustRightInd w:val="0"/>
        <w:snapToGrid w:val="0"/>
        <w:spacing w:line="360" w:lineRule="auto"/>
        <w:ind w:firstLine="480" w:firstLineChars="200"/>
      </w:pPr>
      <w:r>
        <w:rPr>
          <w:rFonts w:hint="eastAsia"/>
        </w:rPr>
        <w:t>六、其他补充事宜</w:t>
      </w:r>
    </w:p>
    <w:p w14:paraId="4E04BEA2">
      <w:pPr>
        <w:adjustRightInd w:val="0"/>
        <w:snapToGrid w:val="0"/>
        <w:spacing w:line="360" w:lineRule="auto"/>
        <w:ind w:firstLine="482" w:firstLineChars="200"/>
      </w:pPr>
      <w:r>
        <w:rPr>
          <w:rFonts w:hint="eastAsia"/>
          <w:b/>
        </w:rPr>
        <w:t>1、投标保证金：</w:t>
      </w:r>
      <w:r>
        <w:rPr>
          <w:rFonts w:hint="eastAsia"/>
        </w:rPr>
        <w:t>本项目不收取投标保证金。招标文件中涉及投标保证金的事项，均按免收投标保证金执行。</w:t>
      </w:r>
    </w:p>
    <w:p w14:paraId="18EBED1C">
      <w:pPr>
        <w:adjustRightInd w:val="0"/>
        <w:snapToGrid w:val="0"/>
        <w:spacing w:line="360" w:lineRule="auto"/>
        <w:ind w:firstLine="480" w:firstLineChars="200"/>
      </w:pPr>
      <w:r>
        <w:rPr>
          <w:rFonts w:hint="eastAsia"/>
        </w:rPr>
        <w:t>2、对项目部分（供应商资格要求、项目要求、评分标准）的询问、质疑向采购人指出，由采购人答复；对项目投标文件的其他部分询问、质疑向代理机构指出或采购人指出。</w:t>
      </w:r>
    </w:p>
    <w:p w14:paraId="69F8D3C3">
      <w:pPr>
        <w:adjustRightInd w:val="0"/>
        <w:snapToGrid w:val="0"/>
        <w:spacing w:line="360" w:lineRule="auto"/>
        <w:ind w:firstLine="480" w:firstLineChars="200"/>
      </w:pPr>
      <w:r>
        <w:rPr>
          <w:rFonts w:hint="eastAsia"/>
        </w:rPr>
        <w:t>3、特别提醒：</w:t>
      </w:r>
    </w:p>
    <w:p w14:paraId="2D4C4EBF">
      <w:pPr>
        <w:adjustRightInd w:val="0"/>
        <w:snapToGrid w:val="0"/>
        <w:spacing w:line="360" w:lineRule="auto"/>
        <w:ind w:firstLine="480" w:firstLineChars="200"/>
      </w:pPr>
      <w:r>
        <w:rPr>
          <w:rFonts w:hint="eastAsia"/>
        </w:rPr>
        <w:t>3.1.本项目投标人的资格审查采用资格后审方式，采购人不组织投标人对现场的集中踏勘，请各投标人自行踏勘现场。凡有意参加投标者须登陆“如东县限额交易网-项目投标方”下载采购文件等，登陆地址详见“招标文件 第二部分”。</w:t>
      </w:r>
    </w:p>
    <w:p w14:paraId="1EC05664">
      <w:pPr>
        <w:adjustRightInd w:val="0"/>
        <w:snapToGrid w:val="0"/>
        <w:spacing w:line="360" w:lineRule="auto"/>
        <w:ind w:firstLine="480" w:firstLineChars="200"/>
      </w:pPr>
      <w:r>
        <w:rPr>
          <w:rFonts w:hint="eastAsia"/>
        </w:rPr>
        <w:t>3.2.本项目采用不见面招投标，开标当日，投标人不必抵达开标现场，仅需在任意地点通过“如东县限额交易网-项目投标方”参加开标会议（不见面开标的系统网址详见招标文件第二部分）并在投标截止时间后需要进行投标文件的解密，并根据需要使用聊天室与现场招标人进行互动交流、澄清、提疑以及文件传送等活动。具体操作流程可参见《操作手册》。投标人须在投标截止前按照招标文件要求将投标文件上传至系统内相应位置。如东县限额交易网技术服务联系电话：0513-84800088。</w:t>
      </w:r>
    </w:p>
    <w:p w14:paraId="22F35393">
      <w:pPr>
        <w:adjustRightInd w:val="0"/>
        <w:snapToGrid w:val="0"/>
        <w:spacing w:line="360" w:lineRule="auto"/>
        <w:ind w:firstLine="480" w:firstLineChars="200"/>
      </w:pPr>
      <w:r>
        <w:rPr>
          <w:rFonts w:hint="eastAsia"/>
        </w:rPr>
        <w:t>3.3.解密时间：投标人解密限定在采购人确定解密时间后30分钟内完成（如因投标人个人原因，未在限定时间内完成解密的，将退回其投标文件，不得再参加本项目的投标）。</w:t>
      </w:r>
    </w:p>
    <w:p w14:paraId="23AA89CD">
      <w:pPr>
        <w:adjustRightInd w:val="0"/>
        <w:snapToGrid w:val="0"/>
        <w:spacing w:line="360" w:lineRule="auto"/>
        <w:ind w:firstLine="480" w:firstLineChars="200"/>
      </w:pPr>
      <w:r>
        <w:rPr>
          <w:rFonts w:hint="eastAsia"/>
        </w:rPr>
        <w:t>3.4.本项目采购文件及相关招标资料必须自行登录如东县限额交易网的项目投标方业务系统进行网上报名（即下载本项目采购文件及相关招标资料），否则拒收投标文件。</w:t>
      </w:r>
    </w:p>
    <w:p w14:paraId="2EF146E1">
      <w:pPr>
        <w:adjustRightInd w:val="0"/>
        <w:snapToGrid w:val="0"/>
        <w:spacing w:line="360" w:lineRule="auto"/>
        <w:ind w:firstLine="480" w:firstLineChars="200"/>
        <w:rPr>
          <w:b/>
        </w:rPr>
      </w:pPr>
      <w:r>
        <w:rPr>
          <w:rFonts w:hint="eastAsia"/>
        </w:rPr>
        <w:t>3.5.本项目投标时不需要提供纸质投标文件。中标单位在确定中标后，必须提供叁份使用系统打印出来（加盖公章）的完整的投标文件交招标代理（投标文件份数：正本壹份，副本贰份）。</w:t>
      </w:r>
    </w:p>
    <w:p w14:paraId="42731E95">
      <w:pPr>
        <w:adjustRightInd w:val="0"/>
        <w:snapToGrid w:val="0"/>
        <w:spacing w:line="360" w:lineRule="auto"/>
        <w:ind w:firstLine="480" w:firstLineChars="200"/>
      </w:pPr>
      <w:r>
        <w:rPr>
          <w:rFonts w:hint="eastAsia"/>
        </w:rPr>
        <w:t>七、对本次招标提出询问，请按以下方式联系。</w:t>
      </w:r>
    </w:p>
    <w:p w14:paraId="09B56EC6">
      <w:pPr>
        <w:adjustRightInd w:val="0"/>
        <w:snapToGrid w:val="0"/>
        <w:spacing w:line="360" w:lineRule="auto"/>
        <w:ind w:firstLine="480" w:firstLineChars="200"/>
      </w:pPr>
      <w:r>
        <w:rPr>
          <w:rFonts w:hint="eastAsia"/>
        </w:rPr>
        <w:t xml:space="preserve"> 1.采购人信息</w:t>
      </w:r>
    </w:p>
    <w:p w14:paraId="6EF51E66">
      <w:pPr>
        <w:adjustRightInd w:val="0"/>
        <w:snapToGrid w:val="0"/>
        <w:spacing w:line="360" w:lineRule="auto"/>
        <w:ind w:firstLine="480" w:firstLineChars="200"/>
      </w:pPr>
      <w:r>
        <w:rPr>
          <w:rFonts w:hint="eastAsia"/>
        </w:rPr>
        <w:t>名 称：如东县洋口镇中心卫生院</w:t>
      </w:r>
    </w:p>
    <w:p w14:paraId="4F005E27">
      <w:pPr>
        <w:adjustRightInd w:val="0"/>
        <w:snapToGrid w:val="0"/>
        <w:spacing w:line="360" w:lineRule="auto"/>
        <w:ind w:firstLine="480" w:firstLineChars="200"/>
      </w:pPr>
      <w:r>
        <w:rPr>
          <w:rFonts w:hint="eastAsia"/>
        </w:rPr>
        <w:t>地址：如东县洋口镇</w:t>
      </w:r>
    </w:p>
    <w:p w14:paraId="4310C015">
      <w:pPr>
        <w:adjustRightInd w:val="0"/>
        <w:snapToGrid w:val="0"/>
        <w:spacing w:line="360" w:lineRule="auto"/>
        <w:ind w:firstLine="480" w:firstLineChars="200"/>
      </w:pPr>
      <w:r>
        <w:rPr>
          <w:rFonts w:hint="eastAsia"/>
        </w:rPr>
        <w:t>联系人：桑建银　　　　　　　　　　　</w:t>
      </w:r>
    </w:p>
    <w:p w14:paraId="392FCEF9">
      <w:pPr>
        <w:adjustRightInd w:val="0"/>
        <w:snapToGrid w:val="0"/>
        <w:spacing w:line="360" w:lineRule="auto"/>
        <w:ind w:firstLine="480" w:firstLineChars="200"/>
        <w:rPr>
          <w:rFonts w:ascii="宋体"/>
        </w:rPr>
      </w:pPr>
      <w:r>
        <w:rPr>
          <w:rFonts w:hint="eastAsia" w:ascii="宋体"/>
        </w:rPr>
        <w:t>联系方式：</w:t>
      </w:r>
      <w:r>
        <w:rPr>
          <w:rFonts w:hint="eastAsia"/>
        </w:rPr>
        <w:t>13951326708</w:t>
      </w:r>
      <w:r>
        <w:rPr>
          <w:rFonts w:hint="eastAsia" w:ascii="宋体"/>
        </w:rPr>
        <w:t>　　</w:t>
      </w:r>
    </w:p>
    <w:p w14:paraId="259AC00E">
      <w:pPr>
        <w:adjustRightInd w:val="0"/>
        <w:snapToGrid w:val="0"/>
        <w:spacing w:line="360" w:lineRule="auto"/>
        <w:ind w:firstLine="480" w:firstLineChars="200"/>
      </w:pPr>
      <w:r>
        <w:rPr>
          <w:rFonts w:hint="eastAsia"/>
        </w:rPr>
        <w:t>2.代理机构信息</w:t>
      </w:r>
    </w:p>
    <w:p w14:paraId="0CDEEFAE">
      <w:pPr>
        <w:adjustRightInd w:val="0"/>
        <w:snapToGrid w:val="0"/>
        <w:spacing w:line="360" w:lineRule="auto"/>
        <w:ind w:firstLine="480" w:firstLineChars="200"/>
      </w:pPr>
      <w:r>
        <w:rPr>
          <w:rFonts w:hint="eastAsia"/>
        </w:rPr>
        <w:t>名 称：江苏骏通建设项目管理咨询有限公司</w:t>
      </w:r>
    </w:p>
    <w:p w14:paraId="1E21DD09">
      <w:pPr>
        <w:adjustRightInd w:val="0"/>
        <w:snapToGrid w:val="0"/>
        <w:spacing w:line="360" w:lineRule="auto"/>
        <w:ind w:firstLine="480" w:firstLineChars="200"/>
      </w:pPr>
      <w:r>
        <w:rPr>
          <w:rFonts w:hint="eastAsia"/>
        </w:rPr>
        <w:t>地 址：如东县掘港镇</w:t>
      </w:r>
    </w:p>
    <w:p w14:paraId="39337DC9">
      <w:pPr>
        <w:adjustRightInd w:val="0"/>
        <w:snapToGrid w:val="0"/>
        <w:spacing w:line="360" w:lineRule="auto"/>
        <w:ind w:firstLine="480" w:firstLineChars="200"/>
      </w:pPr>
      <w:r>
        <w:rPr>
          <w:rFonts w:hint="eastAsia"/>
        </w:rPr>
        <w:t>联系人：许宏伟</w:t>
      </w:r>
    </w:p>
    <w:p w14:paraId="22DDE1DF">
      <w:pPr>
        <w:adjustRightInd w:val="0"/>
        <w:snapToGrid w:val="0"/>
        <w:spacing w:line="360" w:lineRule="auto"/>
        <w:ind w:firstLine="480" w:firstLineChars="200"/>
      </w:pPr>
      <w:r>
        <w:rPr>
          <w:rFonts w:hint="eastAsia"/>
        </w:rPr>
        <w:t>联系方式：18260537201</w:t>
      </w:r>
    </w:p>
    <w:p w14:paraId="23306053">
      <w:pPr>
        <w:adjustRightInd w:val="0"/>
        <w:snapToGrid w:val="0"/>
        <w:spacing w:line="360" w:lineRule="auto"/>
        <w:ind w:firstLine="480" w:firstLineChars="200"/>
      </w:pPr>
      <w:r>
        <w:rPr>
          <w:rFonts w:hint="eastAsia"/>
        </w:rPr>
        <w:t>3.项目联系方式</w:t>
      </w:r>
    </w:p>
    <w:p w14:paraId="6F43D2BD">
      <w:pPr>
        <w:adjustRightInd w:val="0"/>
        <w:snapToGrid w:val="0"/>
        <w:spacing w:line="360" w:lineRule="auto"/>
        <w:ind w:firstLine="480" w:firstLineChars="200"/>
      </w:pPr>
      <w:r>
        <w:rPr>
          <w:rFonts w:hint="eastAsia"/>
        </w:rPr>
        <w:t>联系人：桑建银　　　　　　　　　　　</w:t>
      </w:r>
    </w:p>
    <w:p w14:paraId="32D193B2">
      <w:pPr>
        <w:adjustRightInd w:val="0"/>
        <w:snapToGrid w:val="0"/>
        <w:spacing w:line="360" w:lineRule="auto"/>
        <w:ind w:firstLine="480" w:firstLineChars="200"/>
      </w:pPr>
      <w:r>
        <w:rPr>
          <w:rFonts w:hint="eastAsia"/>
        </w:rPr>
        <w:t>联系方式：13951326708　</w:t>
      </w:r>
    </w:p>
    <w:p w14:paraId="267EAD6D"/>
    <w:p w14:paraId="5C9937C6">
      <w:pPr>
        <w:pStyle w:val="54"/>
        <w:spacing w:afterLines="0" w:line="500" w:lineRule="exact"/>
        <w:rPr>
          <w:rFonts w:ascii="宋体" w:hAnsi="宋体" w:eastAsia="宋体" w:cs="宋体"/>
        </w:rPr>
      </w:pPr>
    </w:p>
    <w:p w14:paraId="1B63FB74">
      <w:pPr>
        <w:pStyle w:val="54"/>
        <w:spacing w:afterLines="0" w:line="500" w:lineRule="exact"/>
        <w:rPr>
          <w:rFonts w:ascii="宋体" w:hAnsi="宋体" w:eastAsia="宋体" w:cs="宋体"/>
        </w:rPr>
      </w:pPr>
    </w:p>
    <w:p w14:paraId="314D7206">
      <w:pPr>
        <w:pStyle w:val="54"/>
        <w:spacing w:afterLines="0" w:line="500" w:lineRule="exact"/>
        <w:rPr>
          <w:rFonts w:ascii="宋体" w:hAnsi="宋体" w:eastAsia="宋体" w:cs="宋体"/>
        </w:rPr>
      </w:pPr>
    </w:p>
    <w:p w14:paraId="37392D25"/>
    <w:p w14:paraId="6F96BE91">
      <w:pPr>
        <w:pStyle w:val="2"/>
        <w:ind w:left="480" w:firstLine="480"/>
      </w:pPr>
    </w:p>
    <w:p w14:paraId="0A3D8ED7"/>
    <w:p w14:paraId="640E7201">
      <w:pPr>
        <w:pStyle w:val="2"/>
        <w:ind w:left="480" w:firstLine="480"/>
      </w:pPr>
    </w:p>
    <w:p w14:paraId="67315DC8"/>
    <w:p w14:paraId="4AA77189">
      <w:pPr>
        <w:pStyle w:val="2"/>
        <w:ind w:left="480" w:firstLine="480"/>
      </w:pPr>
    </w:p>
    <w:p w14:paraId="456BCA64"/>
    <w:p w14:paraId="233DBA04">
      <w:pPr>
        <w:pStyle w:val="2"/>
        <w:ind w:left="480" w:firstLine="480"/>
      </w:pPr>
    </w:p>
    <w:p w14:paraId="64D1E797"/>
    <w:p w14:paraId="367919E9">
      <w:pPr>
        <w:pStyle w:val="2"/>
        <w:ind w:left="480" w:firstLine="480"/>
      </w:pPr>
    </w:p>
    <w:p w14:paraId="007B3C82"/>
    <w:p w14:paraId="4E24F5C4">
      <w:pPr>
        <w:pStyle w:val="2"/>
        <w:ind w:left="480" w:firstLine="480"/>
      </w:pPr>
    </w:p>
    <w:p w14:paraId="26EB81D6"/>
    <w:p w14:paraId="2AEA06D8">
      <w:pPr>
        <w:pStyle w:val="2"/>
        <w:ind w:left="480" w:firstLine="480"/>
      </w:pPr>
    </w:p>
    <w:p w14:paraId="4AA3E9CD"/>
    <w:p w14:paraId="414475B5">
      <w:r>
        <w:rPr>
          <w:rFonts w:hint="eastAsia"/>
        </w:rPr>
        <w:br w:type="page"/>
      </w:r>
    </w:p>
    <w:p w14:paraId="08DE158B">
      <w:pPr>
        <w:pStyle w:val="54"/>
        <w:spacing w:afterLines="0" w:line="500" w:lineRule="exact"/>
        <w:rPr>
          <w:rFonts w:ascii="宋体" w:hAnsi="宋体" w:eastAsia="宋体" w:cs="宋体"/>
        </w:rPr>
      </w:pPr>
      <w:r>
        <w:rPr>
          <w:rFonts w:hint="eastAsia" w:ascii="宋体" w:hAnsi="宋体" w:eastAsia="宋体" w:cs="宋体"/>
        </w:rPr>
        <w:t>第二章</w:t>
      </w:r>
      <w:bookmarkStart w:id="29" w:name="_Toc513029202"/>
      <w:bookmarkStart w:id="30" w:name="_Toc16938518"/>
      <w:bookmarkStart w:id="31" w:name="_Toc120614213"/>
      <w:bookmarkStart w:id="32" w:name="_Toc20823274"/>
      <w:r>
        <w:rPr>
          <w:rFonts w:hint="eastAsia" w:ascii="宋体" w:hAnsi="宋体" w:eastAsia="宋体" w:cs="宋体"/>
        </w:rPr>
        <w:t xml:space="preserve">  投标人须知</w:t>
      </w:r>
      <w:bookmarkEnd w:id="29"/>
      <w:bookmarkEnd w:id="30"/>
      <w:bookmarkEnd w:id="31"/>
      <w:bookmarkEnd w:id="32"/>
    </w:p>
    <w:p w14:paraId="14DD4720">
      <w:pPr>
        <w:adjustRightInd w:val="0"/>
        <w:snapToGrid w:val="0"/>
        <w:spacing w:line="360" w:lineRule="auto"/>
        <w:ind w:firstLine="480" w:firstLineChars="200"/>
      </w:pPr>
      <w:r>
        <w:rPr>
          <w:rFonts w:hint="eastAsia"/>
        </w:rPr>
        <w:t>一、总则</w:t>
      </w:r>
    </w:p>
    <w:p w14:paraId="550913EF">
      <w:pPr>
        <w:adjustRightInd w:val="0"/>
        <w:snapToGrid w:val="0"/>
        <w:spacing w:line="360" w:lineRule="auto"/>
        <w:ind w:firstLine="480" w:firstLineChars="200"/>
      </w:pPr>
      <w:r>
        <w:rPr>
          <w:rFonts w:hint="eastAsia"/>
        </w:rPr>
        <w:t>1．采购方式</w:t>
      </w:r>
    </w:p>
    <w:p w14:paraId="1A445C1E">
      <w:pPr>
        <w:adjustRightInd w:val="0"/>
        <w:snapToGrid w:val="0"/>
        <w:spacing w:line="360" w:lineRule="auto"/>
        <w:ind w:firstLine="480" w:firstLineChars="200"/>
      </w:pPr>
      <w:r>
        <w:rPr>
          <w:rFonts w:hint="eastAsia"/>
        </w:rPr>
        <w:t>1.1 本次采购采取公开招标方式，本招标文件仅适用于第一章“招标公告”中所述项目。</w:t>
      </w:r>
    </w:p>
    <w:p w14:paraId="049FC412">
      <w:pPr>
        <w:adjustRightInd w:val="0"/>
        <w:snapToGrid w:val="0"/>
        <w:spacing w:line="360" w:lineRule="auto"/>
        <w:ind w:firstLine="480" w:firstLineChars="200"/>
      </w:pPr>
      <w:r>
        <w:rPr>
          <w:rFonts w:hint="eastAsia"/>
        </w:rPr>
        <w:t>2．合格的投标人</w:t>
      </w:r>
    </w:p>
    <w:p w14:paraId="6687ECD2">
      <w:pPr>
        <w:adjustRightInd w:val="0"/>
        <w:snapToGrid w:val="0"/>
        <w:spacing w:line="360" w:lineRule="auto"/>
        <w:ind w:firstLine="480" w:firstLineChars="200"/>
      </w:pPr>
      <w:r>
        <w:rPr>
          <w:rFonts w:hint="eastAsia"/>
        </w:rPr>
        <w:t>2.1满足招标公告中投标人的资格要求的规定。</w:t>
      </w:r>
    </w:p>
    <w:p w14:paraId="776963AB">
      <w:pPr>
        <w:adjustRightInd w:val="0"/>
        <w:snapToGrid w:val="0"/>
        <w:spacing w:line="360" w:lineRule="auto"/>
        <w:ind w:firstLine="480" w:firstLineChars="200"/>
      </w:pPr>
      <w:r>
        <w:rPr>
          <w:rFonts w:hint="eastAsia"/>
        </w:rPr>
        <w:t>2.2 满足本文件实质性条款的规定。</w:t>
      </w:r>
    </w:p>
    <w:p w14:paraId="49B5075C">
      <w:pPr>
        <w:adjustRightInd w:val="0"/>
        <w:snapToGrid w:val="0"/>
        <w:spacing w:line="360" w:lineRule="auto"/>
        <w:ind w:firstLine="480" w:firstLineChars="200"/>
      </w:pPr>
      <w:r>
        <w:rPr>
          <w:rFonts w:hint="eastAsia"/>
        </w:rPr>
        <w:t>3．适用法律</w:t>
      </w:r>
    </w:p>
    <w:p w14:paraId="6CE24550">
      <w:pPr>
        <w:adjustRightInd w:val="0"/>
        <w:snapToGrid w:val="0"/>
        <w:spacing w:line="360" w:lineRule="auto"/>
        <w:ind w:firstLine="480" w:firstLineChars="200"/>
      </w:pPr>
      <w:r>
        <w:rPr>
          <w:rFonts w:hint="eastAsia"/>
        </w:rPr>
        <w:t>3.1 本次招标及由此产生的合同受中华人民共和国有关的法律法规制约和保护。</w:t>
      </w:r>
    </w:p>
    <w:p w14:paraId="5444DA14">
      <w:pPr>
        <w:adjustRightInd w:val="0"/>
        <w:snapToGrid w:val="0"/>
        <w:spacing w:line="360" w:lineRule="auto"/>
        <w:ind w:firstLine="480" w:firstLineChars="200"/>
      </w:pPr>
      <w:r>
        <w:rPr>
          <w:rFonts w:hint="eastAsia"/>
        </w:rPr>
        <w:t>4．投标费用</w:t>
      </w:r>
    </w:p>
    <w:p w14:paraId="6CE271C5">
      <w:pPr>
        <w:adjustRightInd w:val="0"/>
        <w:snapToGrid w:val="0"/>
        <w:spacing w:line="360" w:lineRule="auto"/>
        <w:ind w:firstLine="480" w:firstLineChars="200"/>
      </w:pPr>
      <w:r>
        <w:rPr>
          <w:rFonts w:hint="eastAsia"/>
        </w:rPr>
        <w:t>4.1 投标人应自行承担所有与参加投标有关的费用（含评标费），无论投标过程中的做法和结果如何，采购人在任何情况下均无义务和责任承担这些费用。</w:t>
      </w:r>
    </w:p>
    <w:p w14:paraId="0BB48891">
      <w:pPr>
        <w:adjustRightInd w:val="0"/>
        <w:snapToGrid w:val="0"/>
        <w:spacing w:line="360" w:lineRule="auto"/>
        <w:ind w:firstLine="480" w:firstLineChars="200"/>
      </w:pPr>
      <w:r>
        <w:rPr>
          <w:rFonts w:hint="eastAsia"/>
        </w:rPr>
        <w:t>5．招标文件的约束力</w:t>
      </w:r>
    </w:p>
    <w:p w14:paraId="56CBA518">
      <w:pPr>
        <w:adjustRightInd w:val="0"/>
        <w:snapToGrid w:val="0"/>
        <w:spacing w:line="360" w:lineRule="auto"/>
        <w:ind w:firstLine="480" w:firstLineChars="200"/>
      </w:pPr>
      <w:r>
        <w:rPr>
          <w:rFonts w:hint="eastAsia"/>
        </w:rPr>
        <w:t>5.1 投标人一旦领取本招标文件并决定参加投标，即被认为接受了本招标文件的规定和约束，并且视为自招标文件领取之日起已经知道或应当知道招标文件是否损害其自身权益。投标人一旦参加本项目投标，即表明承诺接受了本招标文件中的所有条件和规定。投标人应当按照招标文件的规定制作投标文件并参加投标。</w:t>
      </w:r>
    </w:p>
    <w:p w14:paraId="7349A098">
      <w:pPr>
        <w:adjustRightInd w:val="0"/>
        <w:snapToGrid w:val="0"/>
        <w:spacing w:line="360" w:lineRule="auto"/>
        <w:ind w:firstLine="480" w:firstLineChars="200"/>
      </w:pPr>
      <w:r>
        <w:rPr>
          <w:rFonts w:hint="eastAsia"/>
        </w:rPr>
        <w:t>二、招标文件</w:t>
      </w:r>
    </w:p>
    <w:p w14:paraId="1BB71828">
      <w:pPr>
        <w:adjustRightInd w:val="0"/>
        <w:snapToGrid w:val="0"/>
        <w:spacing w:line="360" w:lineRule="auto"/>
        <w:ind w:firstLine="480" w:firstLineChars="200"/>
      </w:pPr>
      <w:r>
        <w:rPr>
          <w:rFonts w:hint="eastAsia"/>
        </w:rPr>
        <w:t>6．招标文件构成</w:t>
      </w:r>
    </w:p>
    <w:p w14:paraId="4B28D658">
      <w:pPr>
        <w:adjustRightInd w:val="0"/>
        <w:snapToGrid w:val="0"/>
        <w:spacing w:line="360" w:lineRule="auto"/>
        <w:ind w:firstLine="480" w:firstLineChars="200"/>
      </w:pPr>
      <w:r>
        <w:rPr>
          <w:rFonts w:hint="eastAsia"/>
        </w:rPr>
        <w:t>6.1 招标文件有以下部分组成：</w:t>
      </w:r>
    </w:p>
    <w:p w14:paraId="38B330C8">
      <w:pPr>
        <w:adjustRightInd w:val="0"/>
        <w:snapToGrid w:val="0"/>
        <w:spacing w:line="360" w:lineRule="auto"/>
        <w:ind w:firstLine="480" w:firstLineChars="200"/>
      </w:pPr>
      <w:r>
        <w:rPr>
          <w:rFonts w:hint="eastAsia"/>
        </w:rPr>
        <w:t>（1）招标公告</w:t>
      </w:r>
    </w:p>
    <w:p w14:paraId="5E26B82C">
      <w:pPr>
        <w:adjustRightInd w:val="0"/>
        <w:snapToGrid w:val="0"/>
        <w:spacing w:line="360" w:lineRule="auto"/>
        <w:ind w:firstLine="480" w:firstLineChars="200"/>
      </w:pPr>
      <w:r>
        <w:rPr>
          <w:rFonts w:hint="eastAsia"/>
        </w:rPr>
        <w:t>（2）投标人须知</w:t>
      </w:r>
    </w:p>
    <w:p w14:paraId="4D348D48">
      <w:pPr>
        <w:adjustRightInd w:val="0"/>
        <w:snapToGrid w:val="0"/>
        <w:spacing w:line="360" w:lineRule="auto"/>
        <w:ind w:firstLine="480" w:firstLineChars="200"/>
      </w:pPr>
      <w:r>
        <w:rPr>
          <w:rFonts w:hint="eastAsia"/>
        </w:rPr>
        <w:t>（3）项目需求</w:t>
      </w:r>
    </w:p>
    <w:p w14:paraId="4CA16C28">
      <w:pPr>
        <w:adjustRightInd w:val="0"/>
        <w:snapToGrid w:val="0"/>
        <w:spacing w:line="360" w:lineRule="auto"/>
        <w:ind w:firstLine="480" w:firstLineChars="200"/>
      </w:pPr>
      <w:r>
        <w:rPr>
          <w:rFonts w:hint="eastAsia"/>
        </w:rPr>
        <w:t>（4）评标方法与评标标准</w:t>
      </w:r>
    </w:p>
    <w:p w14:paraId="15D18936">
      <w:pPr>
        <w:adjustRightInd w:val="0"/>
        <w:snapToGrid w:val="0"/>
        <w:spacing w:line="360" w:lineRule="auto"/>
        <w:ind w:firstLine="480" w:firstLineChars="200"/>
      </w:pPr>
      <w:r>
        <w:rPr>
          <w:rFonts w:hint="eastAsia"/>
        </w:rPr>
        <w:t>（5）投标文件格式</w:t>
      </w:r>
    </w:p>
    <w:p w14:paraId="0FAB5644">
      <w:pPr>
        <w:adjustRightInd w:val="0"/>
        <w:snapToGrid w:val="0"/>
        <w:spacing w:line="360" w:lineRule="auto"/>
        <w:ind w:firstLine="480" w:firstLineChars="200"/>
      </w:pPr>
      <w:r>
        <w:rPr>
          <w:rFonts w:hint="eastAsia"/>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08033704">
      <w:pPr>
        <w:pStyle w:val="2"/>
        <w:adjustRightInd w:val="0"/>
        <w:snapToGrid w:val="0"/>
        <w:spacing w:after="0" w:line="360" w:lineRule="auto"/>
        <w:ind w:left="0" w:leftChars="0" w:firstLine="480"/>
      </w:pPr>
      <w:r>
        <w:rPr>
          <w:rFonts w:hint="eastAsia"/>
        </w:rPr>
        <w:t>6.3网址：</w:t>
      </w:r>
    </w:p>
    <w:p w14:paraId="7701CEF8">
      <w:pPr>
        <w:adjustRightInd w:val="0"/>
        <w:snapToGrid w:val="0"/>
        <w:spacing w:line="360" w:lineRule="auto"/>
        <w:ind w:firstLine="480" w:firstLineChars="200"/>
      </w:pPr>
      <w:r>
        <w:rPr>
          <w:rFonts w:hint="eastAsia"/>
        </w:rPr>
        <w:t>（1）投标人在如东县限额交易网（http://www.rudong.net/web/index→项目投标方）的项目投标方业务系统进行网上报名（即下载本项目采购文件及相关招标资料）。</w:t>
      </w:r>
    </w:p>
    <w:p w14:paraId="537F70B7">
      <w:pPr>
        <w:adjustRightInd w:val="0"/>
        <w:snapToGrid w:val="0"/>
        <w:spacing w:line="360" w:lineRule="auto"/>
        <w:ind w:firstLine="480" w:firstLineChars="200"/>
      </w:pPr>
      <w:r>
        <w:rPr>
          <w:rFonts w:hint="eastAsia"/>
        </w:rPr>
        <w:t>（2）本项目投标人的资格审查采用资格后审方式，采购人不组织投标人对现场的集中踏勘，请各投标人自行踏勘现场。凡有意参加投标者须登陆“如东县限额交易网-项目投标方”下载采购文件等，登陆地址“http://www.rudong.net/web/index”</w:t>
      </w:r>
    </w:p>
    <w:p w14:paraId="23036236">
      <w:pPr>
        <w:adjustRightInd w:val="0"/>
        <w:snapToGrid w:val="0"/>
        <w:spacing w:line="360" w:lineRule="auto"/>
        <w:ind w:firstLine="480" w:firstLineChars="200"/>
        <w:rPr>
          <w:b/>
          <w:bCs/>
        </w:rPr>
      </w:pPr>
      <w:r>
        <w:rPr>
          <w:rFonts w:hint="eastAsia"/>
        </w:rPr>
        <w:t>（3）不见面开标的系统网址为http://www.rudong.net/web/index</w:t>
      </w:r>
    </w:p>
    <w:p w14:paraId="51D7A55E">
      <w:pPr>
        <w:adjustRightInd w:val="0"/>
        <w:snapToGrid w:val="0"/>
        <w:spacing w:line="360" w:lineRule="auto"/>
        <w:ind w:firstLine="480" w:firstLineChars="200"/>
      </w:pPr>
      <w:r>
        <w:rPr>
          <w:rFonts w:hint="eastAsia"/>
        </w:rPr>
        <w:t>7．招标文件的澄清</w:t>
      </w:r>
    </w:p>
    <w:p w14:paraId="1225E79D">
      <w:pPr>
        <w:adjustRightInd w:val="0"/>
        <w:snapToGrid w:val="0"/>
        <w:spacing w:line="360" w:lineRule="auto"/>
        <w:ind w:firstLine="480" w:firstLineChars="200"/>
      </w:pPr>
      <w:r>
        <w:rPr>
          <w:rFonts w:hint="eastAsia"/>
        </w:rPr>
        <w:t>7.1 任何要求对招标文件进行澄清的投标人，均应在投标截止期十日前按招标公告中的联系方式，以书面形式提交给采购人。采购人认为已发布的招标文件确有必要澄清或者修改的，将在“如东县限额交易网”发布更正公告或就个性化的问题回复提出澄清要求的潜在投标人。</w:t>
      </w:r>
    </w:p>
    <w:p w14:paraId="5E592477">
      <w:pPr>
        <w:adjustRightInd w:val="0"/>
        <w:snapToGrid w:val="0"/>
        <w:spacing w:line="360" w:lineRule="auto"/>
        <w:ind w:firstLine="480" w:firstLineChars="200"/>
      </w:pPr>
      <w:r>
        <w:rPr>
          <w:rFonts w:hint="eastAsia"/>
        </w:rPr>
        <w:t>8．招标文件的修改</w:t>
      </w:r>
    </w:p>
    <w:p w14:paraId="382F30FD">
      <w:pPr>
        <w:adjustRightInd w:val="0"/>
        <w:snapToGrid w:val="0"/>
        <w:spacing w:line="360" w:lineRule="auto"/>
        <w:ind w:firstLine="480" w:firstLineChars="200"/>
      </w:pPr>
      <w:r>
        <w:rPr>
          <w:rFonts w:hint="eastAsia"/>
        </w:rPr>
        <w:t>8.1在投标截止时间三天前，采购人均可以以补充文件的方式对招标文件进行修改。</w:t>
      </w:r>
    </w:p>
    <w:p w14:paraId="71B750FB">
      <w:pPr>
        <w:adjustRightInd w:val="0"/>
        <w:snapToGrid w:val="0"/>
        <w:spacing w:line="360" w:lineRule="auto"/>
        <w:ind w:firstLine="480" w:firstLineChars="200"/>
      </w:pPr>
      <w:r>
        <w:rPr>
          <w:rFonts w:hint="eastAsia"/>
        </w:rPr>
        <w:t>8.2采购人有权按规定要求推迟投标截止日期和开标日期。</w:t>
      </w:r>
    </w:p>
    <w:p w14:paraId="47288B34">
      <w:pPr>
        <w:adjustRightInd w:val="0"/>
        <w:snapToGrid w:val="0"/>
        <w:spacing w:line="360" w:lineRule="auto"/>
        <w:ind w:firstLine="480" w:firstLineChars="200"/>
      </w:pPr>
      <w:r>
        <w:rPr>
          <w:rFonts w:hint="eastAsia"/>
        </w:rPr>
        <w:t>8.3招标文件的修改将在招标公告发布媒体公布，补充文件将作为招标文件的组成部分，并对投标人具有约束力。</w:t>
      </w:r>
    </w:p>
    <w:p w14:paraId="2AA3B130">
      <w:pPr>
        <w:adjustRightInd w:val="0"/>
        <w:snapToGrid w:val="0"/>
        <w:spacing w:line="360" w:lineRule="auto"/>
        <w:ind w:firstLine="480" w:firstLineChars="200"/>
      </w:pPr>
      <w:r>
        <w:rPr>
          <w:rFonts w:hint="eastAsia"/>
        </w:rPr>
        <w:t>三、投标文件的编制</w:t>
      </w:r>
    </w:p>
    <w:p w14:paraId="685D417B">
      <w:pPr>
        <w:adjustRightInd w:val="0"/>
        <w:snapToGrid w:val="0"/>
        <w:spacing w:line="360" w:lineRule="auto"/>
        <w:ind w:firstLine="480" w:firstLineChars="200"/>
      </w:pPr>
      <w:r>
        <w:rPr>
          <w:rFonts w:hint="eastAsia"/>
        </w:rPr>
        <w:t>9．投标文件的语言及度量衡单位</w:t>
      </w:r>
    </w:p>
    <w:p w14:paraId="0BE2CBBB">
      <w:pPr>
        <w:adjustRightInd w:val="0"/>
        <w:snapToGrid w:val="0"/>
        <w:spacing w:line="360" w:lineRule="auto"/>
        <w:ind w:firstLine="480" w:firstLineChars="200"/>
      </w:pPr>
      <w:r>
        <w:rPr>
          <w:rFonts w:hint="eastAsia"/>
        </w:rPr>
        <w:t>9.1 投标人提交的投标文件以及投标人与采购人就有关投标的所有来往通知、函件和文件均应使用简体中文。</w:t>
      </w:r>
    </w:p>
    <w:p w14:paraId="4CC144BD">
      <w:pPr>
        <w:adjustRightInd w:val="0"/>
        <w:snapToGrid w:val="0"/>
        <w:spacing w:line="360" w:lineRule="auto"/>
        <w:ind w:firstLine="480" w:firstLineChars="200"/>
      </w:pPr>
      <w:r>
        <w:rPr>
          <w:rFonts w:hint="eastAsia"/>
        </w:rPr>
        <w:t>9.2 除技术性能另有规定外，投标文件所使用的度量衡单位，均须采用国家法定计量单位。</w:t>
      </w:r>
    </w:p>
    <w:p w14:paraId="14F2708E">
      <w:pPr>
        <w:adjustRightInd w:val="0"/>
        <w:snapToGrid w:val="0"/>
        <w:spacing w:line="360" w:lineRule="auto"/>
        <w:ind w:firstLine="480" w:firstLineChars="200"/>
      </w:pPr>
      <w:r>
        <w:rPr>
          <w:rFonts w:hint="eastAsia"/>
        </w:rPr>
        <w:t>10．招标文件构成</w:t>
      </w:r>
    </w:p>
    <w:p w14:paraId="70515635">
      <w:pPr>
        <w:adjustRightInd w:val="0"/>
        <w:snapToGrid w:val="0"/>
        <w:spacing w:line="360" w:lineRule="auto"/>
        <w:ind w:firstLine="480" w:firstLineChars="200"/>
      </w:pPr>
      <w:r>
        <w:rPr>
          <w:rFonts w:hint="eastAsia"/>
        </w:rPr>
        <w:t>10.1招标人编写的招标文件包括：</w:t>
      </w:r>
    </w:p>
    <w:p w14:paraId="6238C1F8">
      <w:pPr>
        <w:adjustRightInd w:val="0"/>
        <w:snapToGrid w:val="0"/>
        <w:spacing w:line="360" w:lineRule="auto"/>
        <w:ind w:firstLine="480" w:firstLineChars="200"/>
      </w:pPr>
      <w:r>
        <w:rPr>
          <w:rFonts w:hint="eastAsia"/>
        </w:rPr>
        <w:t>（1）投标邀请</w:t>
      </w:r>
    </w:p>
    <w:p w14:paraId="7092A589">
      <w:pPr>
        <w:adjustRightInd w:val="0"/>
        <w:snapToGrid w:val="0"/>
        <w:spacing w:line="360" w:lineRule="auto"/>
        <w:ind w:firstLine="480" w:firstLineChars="200"/>
      </w:pPr>
      <w:r>
        <w:rPr>
          <w:rFonts w:hint="eastAsia"/>
        </w:rPr>
        <w:t>（2）投标须知</w:t>
      </w:r>
    </w:p>
    <w:p w14:paraId="3B3FBF01">
      <w:pPr>
        <w:adjustRightInd w:val="0"/>
        <w:snapToGrid w:val="0"/>
        <w:spacing w:line="360" w:lineRule="auto"/>
        <w:ind w:firstLine="480" w:firstLineChars="200"/>
      </w:pPr>
      <w:r>
        <w:rPr>
          <w:rFonts w:hint="eastAsia"/>
        </w:rPr>
        <w:t>（3）项目需求</w:t>
      </w:r>
    </w:p>
    <w:p w14:paraId="2CF34792">
      <w:pPr>
        <w:adjustRightInd w:val="0"/>
        <w:snapToGrid w:val="0"/>
        <w:spacing w:line="360" w:lineRule="auto"/>
        <w:ind w:firstLine="480" w:firstLineChars="200"/>
      </w:pPr>
      <w:r>
        <w:rPr>
          <w:rFonts w:hint="eastAsia"/>
        </w:rPr>
        <w:t>（4）评标方法与评标标准</w:t>
      </w:r>
    </w:p>
    <w:p w14:paraId="2A02C02C">
      <w:pPr>
        <w:adjustRightInd w:val="0"/>
        <w:snapToGrid w:val="0"/>
        <w:spacing w:line="360" w:lineRule="auto"/>
        <w:ind w:firstLine="480" w:firstLineChars="200"/>
      </w:pPr>
      <w:r>
        <w:rPr>
          <w:rFonts w:hint="eastAsia"/>
        </w:rPr>
        <w:t>（5）投标文件格式</w:t>
      </w:r>
    </w:p>
    <w:p w14:paraId="0E509A15">
      <w:pPr>
        <w:adjustRightInd w:val="0"/>
        <w:snapToGrid w:val="0"/>
        <w:spacing w:line="360" w:lineRule="auto"/>
        <w:ind w:firstLine="480" w:firstLineChars="200"/>
      </w:pPr>
      <w:r>
        <w:rPr>
          <w:rFonts w:hint="eastAsia"/>
        </w:rPr>
        <w:t>（6）附件（如有）</w:t>
      </w:r>
    </w:p>
    <w:p w14:paraId="0CE398EE">
      <w:pPr>
        <w:adjustRightInd w:val="0"/>
        <w:snapToGrid w:val="0"/>
        <w:spacing w:line="360" w:lineRule="auto"/>
        <w:ind w:firstLine="480" w:firstLineChars="200"/>
      </w:pPr>
      <w:r>
        <w:rPr>
          <w:rFonts w:hint="eastAsia"/>
        </w:rPr>
        <w:t>请仔细检查招标文件是否齐全，如有缺漏请立即与招标代理机构联系解决。</w:t>
      </w:r>
    </w:p>
    <w:p w14:paraId="6F4F85CE">
      <w:pPr>
        <w:adjustRightInd w:val="0"/>
        <w:snapToGrid w:val="0"/>
        <w:spacing w:line="360" w:lineRule="auto"/>
        <w:ind w:firstLine="480" w:firstLineChars="200"/>
      </w:pPr>
      <w:r>
        <w:rPr>
          <w:rFonts w:hint="eastAsia"/>
        </w:rPr>
        <w:t>10.2投标人应将投标文件按顺序装订成册，并编制投标文件资料目录。</w:t>
      </w:r>
    </w:p>
    <w:p w14:paraId="15765415">
      <w:pPr>
        <w:adjustRightInd w:val="0"/>
        <w:snapToGrid w:val="0"/>
        <w:spacing w:line="360" w:lineRule="auto"/>
        <w:ind w:firstLine="480" w:firstLineChars="200"/>
      </w:pPr>
      <w:r>
        <w:rPr>
          <w:rFonts w:hint="eastAsia"/>
        </w:rPr>
        <w:t>10.3投标文件参照投标文件格式中“投标主要文件目录”的顺序制作，并请编制目录。由于不按要求编排，编排混乱等导致投标文件被误读或查找不到，责任由投标人承担。</w:t>
      </w:r>
    </w:p>
    <w:p w14:paraId="5F00826F">
      <w:pPr>
        <w:adjustRightInd w:val="0"/>
        <w:snapToGrid w:val="0"/>
        <w:spacing w:line="360" w:lineRule="auto"/>
        <w:ind w:firstLine="480" w:firstLineChars="200"/>
      </w:pPr>
      <w:r>
        <w:rPr>
          <w:rFonts w:hint="eastAsia"/>
        </w:rPr>
        <w:t>11．证明投标人资格及符合招标文件规定的文件</w:t>
      </w:r>
    </w:p>
    <w:p w14:paraId="21CA3C8E">
      <w:pPr>
        <w:pStyle w:val="7"/>
        <w:adjustRightInd w:val="0"/>
        <w:snapToGrid w:val="0"/>
        <w:spacing w:before="0" w:after="0" w:line="360" w:lineRule="auto"/>
        <w:ind w:firstLine="562" w:firstLineChars="200"/>
      </w:pPr>
      <w:r>
        <w:rPr>
          <w:rFonts w:hint="eastAsia"/>
        </w:rPr>
        <w:t>12．投标报价</w:t>
      </w:r>
    </w:p>
    <w:p w14:paraId="5A2EFE94">
      <w:pPr>
        <w:adjustRightInd w:val="0"/>
        <w:snapToGrid w:val="0"/>
        <w:spacing w:line="360" w:lineRule="auto"/>
        <w:ind w:firstLine="480" w:firstLineChars="200"/>
      </w:pPr>
      <w:r>
        <w:rPr>
          <w:rFonts w:hint="eastAsia"/>
        </w:rPr>
        <w:t>12.1投标人应按照招标文件规定格式填报项目报价表。只允许有一个报价，任何有选择的报价将不予接受。</w:t>
      </w:r>
    </w:p>
    <w:p w14:paraId="425DDF8B">
      <w:pPr>
        <w:adjustRightInd w:val="0"/>
        <w:snapToGrid w:val="0"/>
        <w:spacing w:line="360" w:lineRule="auto"/>
        <w:ind w:firstLine="480" w:firstLineChars="200"/>
      </w:pPr>
      <w:r>
        <w:rPr>
          <w:rFonts w:hint="eastAsia"/>
        </w:rPr>
        <w:t>12.2标的物</w:t>
      </w:r>
    </w:p>
    <w:p w14:paraId="1564BB8F">
      <w:pPr>
        <w:adjustRightInd w:val="0"/>
        <w:snapToGrid w:val="0"/>
        <w:spacing w:line="360" w:lineRule="auto"/>
        <w:ind w:firstLine="480" w:firstLineChars="200"/>
      </w:pPr>
      <w:r>
        <w:rPr>
          <w:rFonts w:hint="eastAsia"/>
        </w:rPr>
        <w:t>采购人需求的有关技术服务等。</w:t>
      </w:r>
    </w:p>
    <w:p w14:paraId="769C93BC">
      <w:pPr>
        <w:adjustRightInd w:val="0"/>
        <w:snapToGrid w:val="0"/>
        <w:spacing w:line="360" w:lineRule="auto"/>
        <w:ind w:firstLine="480" w:firstLineChars="200"/>
      </w:pPr>
      <w:r>
        <w:rPr>
          <w:rFonts w:hint="eastAsia"/>
        </w:rPr>
        <w:t>12.3有关费用处理</w:t>
      </w:r>
    </w:p>
    <w:p w14:paraId="2648E7A8">
      <w:pPr>
        <w:adjustRightInd w:val="0"/>
        <w:snapToGrid w:val="0"/>
        <w:spacing w:line="360" w:lineRule="auto"/>
        <w:ind w:firstLine="480" w:firstLineChars="200"/>
      </w:pPr>
      <w:r>
        <w:rPr>
          <w:rFonts w:hint="eastAsia"/>
        </w:rPr>
        <w:t>本项目采用全费用单价报价，投标报价应包含为完成本招标文件中的全部内容所需的所有费用，以及为完成上述内容所需的材料费、设备费、包装费、安装调试费、运输费、搬运费（含二次搬运）、人工费、垃圾清运费、备品配件费、管理费、免费质保费用、利润及规费税金不可预见费等。投标单位应结合市场行情及自身实际情况进行报价，并将项目相关的全部费用考虑到自己的投标报价中，否则由此引起的误投、错投风险及相应的损失须投标单位自行承担。供应商报价在合同履行期间不因市场变化因素而变动。本项目最终结算时，全费用单价不变，按实际供货量进行结算。</w:t>
      </w:r>
    </w:p>
    <w:p w14:paraId="3978759D">
      <w:pPr>
        <w:pStyle w:val="14"/>
        <w:adjustRightInd w:val="0"/>
        <w:snapToGrid w:val="0"/>
        <w:spacing w:line="360" w:lineRule="auto"/>
        <w:ind w:firstLine="480" w:firstLineChars="200"/>
      </w:pPr>
      <w:r>
        <w:rPr>
          <w:rFonts w:hint="eastAsia"/>
        </w:rPr>
        <w:t>同时，投标报价也应包含合同履行过程中可能发生的一切风险，中标单位投标报价不再调整。</w:t>
      </w:r>
    </w:p>
    <w:p w14:paraId="4BC594A0">
      <w:pPr>
        <w:adjustRightInd w:val="0"/>
        <w:snapToGrid w:val="0"/>
        <w:spacing w:line="360" w:lineRule="auto"/>
        <w:ind w:firstLine="480" w:firstLineChars="200"/>
      </w:pPr>
      <w:r>
        <w:rPr>
          <w:rFonts w:hint="eastAsia"/>
        </w:rPr>
        <w:t>12.4其它费用处理</w:t>
      </w:r>
    </w:p>
    <w:p w14:paraId="45E5781E">
      <w:pPr>
        <w:adjustRightInd w:val="0"/>
        <w:snapToGrid w:val="0"/>
        <w:spacing w:line="360" w:lineRule="auto"/>
        <w:ind w:firstLine="480" w:firstLineChars="200"/>
      </w:pPr>
      <w:r>
        <w:rPr>
          <w:rFonts w:hint="eastAsia"/>
        </w:rPr>
        <w:t>招标文件未列明，而投标人认为必需的费用也须列入报价。</w:t>
      </w:r>
    </w:p>
    <w:p w14:paraId="5FF9AA78">
      <w:pPr>
        <w:adjustRightInd w:val="0"/>
        <w:snapToGrid w:val="0"/>
        <w:spacing w:line="360" w:lineRule="auto"/>
        <w:ind w:firstLine="480" w:firstLineChars="200"/>
      </w:pPr>
      <w:r>
        <w:rPr>
          <w:rFonts w:hint="eastAsia"/>
        </w:rPr>
        <w:t>12.5投标货币</w:t>
      </w:r>
    </w:p>
    <w:p w14:paraId="654EBA6C">
      <w:pPr>
        <w:adjustRightInd w:val="0"/>
        <w:snapToGrid w:val="0"/>
        <w:spacing w:line="360" w:lineRule="auto"/>
        <w:ind w:firstLine="480" w:firstLineChars="200"/>
      </w:pPr>
      <w:r>
        <w:rPr>
          <w:rFonts w:hint="eastAsia"/>
        </w:rPr>
        <w:t>投标文件中的货物或服务单价和总价无特殊规定的采用人民币报价，以报价表要求的为单位标注。招标文件中另有规定的按规定执行。</w:t>
      </w:r>
    </w:p>
    <w:p w14:paraId="2E6ECE39">
      <w:pPr>
        <w:adjustRightInd w:val="0"/>
        <w:snapToGrid w:val="0"/>
        <w:spacing w:line="360" w:lineRule="auto"/>
        <w:ind w:firstLine="480" w:firstLineChars="200"/>
      </w:pPr>
      <w:r>
        <w:rPr>
          <w:rFonts w:hint="eastAsia"/>
        </w:rPr>
        <w:t>12.6投标项目报价表上的价格应按下列方式分开填写：</w:t>
      </w:r>
    </w:p>
    <w:p w14:paraId="6B0D3DD7">
      <w:pPr>
        <w:adjustRightInd w:val="0"/>
        <w:snapToGrid w:val="0"/>
        <w:spacing w:line="360" w:lineRule="auto"/>
        <w:ind w:firstLine="480" w:firstLineChars="200"/>
      </w:pPr>
      <w:r>
        <w:rPr>
          <w:rFonts w:hint="eastAsia"/>
        </w:rPr>
        <w:t>（1）项目总价：为完成整个项目所产生的所有费用。</w:t>
      </w:r>
    </w:p>
    <w:p w14:paraId="6FE5B8FD">
      <w:pPr>
        <w:adjustRightInd w:val="0"/>
        <w:snapToGrid w:val="0"/>
        <w:spacing w:line="360" w:lineRule="auto"/>
        <w:ind w:firstLine="480" w:firstLineChars="200"/>
      </w:pPr>
      <w:r>
        <w:rPr>
          <w:rFonts w:hint="eastAsia"/>
        </w:rPr>
        <w:t>（2）项目分项报价按项目报价表中要求填报。</w:t>
      </w:r>
    </w:p>
    <w:p w14:paraId="3B191D5A">
      <w:pPr>
        <w:adjustRightInd w:val="0"/>
        <w:snapToGrid w:val="0"/>
        <w:spacing w:line="360" w:lineRule="auto"/>
        <w:ind w:firstLine="480" w:firstLineChars="200"/>
      </w:pPr>
      <w:r>
        <w:rPr>
          <w:rFonts w:hint="eastAsia"/>
        </w:rPr>
        <w:t>13．商务条款响应及偏离表</w:t>
      </w:r>
    </w:p>
    <w:p w14:paraId="22BBB3E9">
      <w:pPr>
        <w:adjustRightInd w:val="0"/>
        <w:snapToGrid w:val="0"/>
        <w:spacing w:line="360" w:lineRule="auto"/>
        <w:ind w:firstLine="480" w:firstLineChars="200"/>
      </w:pPr>
      <w:r>
        <w:rPr>
          <w:rFonts w:hint="eastAsia"/>
        </w:rPr>
        <w:t>13.1 对招标文件中的商务条款要求逐项作出响应或偏离，并说明原因；若出现缺、漏项和描述不清的均视为负偏离处理。</w:t>
      </w:r>
    </w:p>
    <w:p w14:paraId="4681EC1E">
      <w:pPr>
        <w:adjustRightInd w:val="0"/>
        <w:snapToGrid w:val="0"/>
        <w:spacing w:line="360" w:lineRule="auto"/>
        <w:ind w:firstLine="480" w:firstLineChars="200"/>
      </w:pPr>
      <w:r>
        <w:rPr>
          <w:rFonts w:hint="eastAsia"/>
        </w:rPr>
        <w:t>13.2 详细阐述所投货物的主要组成部分、实现思路及关键技术；</w:t>
      </w:r>
    </w:p>
    <w:p w14:paraId="0C0C271F">
      <w:pPr>
        <w:adjustRightInd w:val="0"/>
        <w:snapToGrid w:val="0"/>
        <w:spacing w:line="360" w:lineRule="auto"/>
        <w:ind w:firstLine="480" w:firstLineChars="200"/>
      </w:pPr>
      <w:r>
        <w:rPr>
          <w:rFonts w:hint="eastAsia"/>
        </w:rPr>
        <w:t>13.3 投标人认为需要的其他技术文件或说明。</w:t>
      </w:r>
    </w:p>
    <w:p w14:paraId="4CBB2EF3">
      <w:pPr>
        <w:adjustRightInd w:val="0"/>
        <w:snapToGrid w:val="0"/>
        <w:spacing w:line="360" w:lineRule="auto"/>
        <w:ind w:firstLine="480" w:firstLineChars="200"/>
      </w:pPr>
      <w:r>
        <w:rPr>
          <w:rFonts w:hint="eastAsia"/>
        </w:rPr>
        <w:t>14．服务承诺及售后服务机构、人员的情况介绍</w:t>
      </w:r>
    </w:p>
    <w:p w14:paraId="2BCBDA10">
      <w:pPr>
        <w:adjustRightInd w:val="0"/>
        <w:snapToGrid w:val="0"/>
        <w:spacing w:line="360" w:lineRule="auto"/>
        <w:ind w:firstLine="480" w:firstLineChars="200"/>
      </w:pPr>
      <w:r>
        <w:rPr>
          <w:rFonts w:hint="eastAsia"/>
        </w:rPr>
        <w:t>14.1投标人的服务承诺应按不低于招标文件中商务要求的标准。</w:t>
      </w:r>
    </w:p>
    <w:p w14:paraId="20DC5C7E">
      <w:pPr>
        <w:adjustRightInd w:val="0"/>
        <w:snapToGrid w:val="0"/>
        <w:spacing w:line="360" w:lineRule="auto"/>
        <w:ind w:firstLine="480" w:firstLineChars="200"/>
      </w:pPr>
      <w:r>
        <w:rPr>
          <w:rFonts w:hint="eastAsia"/>
        </w:rPr>
        <w:t>14.2提供投标人有关售后服务的管理制度、售后服务机构的分布情况、售后服务、维护人员的数量、素质、技术水平及售后服务的反应能力。</w:t>
      </w:r>
    </w:p>
    <w:p w14:paraId="0C128831">
      <w:pPr>
        <w:adjustRightInd w:val="0"/>
        <w:snapToGrid w:val="0"/>
        <w:spacing w:line="360" w:lineRule="auto"/>
        <w:ind w:firstLine="480" w:firstLineChars="200"/>
      </w:pPr>
      <w:r>
        <w:rPr>
          <w:rFonts w:hint="eastAsia"/>
        </w:rPr>
        <w:t>15．投标函和开标一览表</w:t>
      </w:r>
    </w:p>
    <w:p w14:paraId="50B3CEA0">
      <w:pPr>
        <w:adjustRightInd w:val="0"/>
        <w:snapToGrid w:val="0"/>
        <w:spacing w:line="360" w:lineRule="auto"/>
        <w:ind w:firstLine="480" w:firstLineChars="200"/>
      </w:pPr>
      <w:r>
        <w:rPr>
          <w:rFonts w:hint="eastAsia"/>
        </w:rPr>
        <w:t>15.1 投标人应按照招标文件中提供的格式完整、正确填写投标函、开标一览表。</w:t>
      </w:r>
    </w:p>
    <w:p w14:paraId="28E6F38E">
      <w:pPr>
        <w:adjustRightInd w:val="0"/>
        <w:snapToGrid w:val="0"/>
        <w:spacing w:line="360" w:lineRule="auto"/>
        <w:ind w:firstLine="480" w:firstLineChars="200"/>
      </w:pPr>
      <w:r>
        <w:rPr>
          <w:rFonts w:hint="eastAsia"/>
        </w:rPr>
        <w:t>15.2 开标一览表中的价格应与投标文件中的价格一致，如出现不一致的情况，虽不作为无效投标处理，但评标时一律按开标一览表中价格为准。</w:t>
      </w:r>
    </w:p>
    <w:p w14:paraId="3B7915DA">
      <w:pPr>
        <w:adjustRightInd w:val="0"/>
        <w:snapToGrid w:val="0"/>
        <w:spacing w:line="360" w:lineRule="auto"/>
        <w:ind w:firstLine="480" w:firstLineChars="200"/>
      </w:pPr>
      <w:r>
        <w:rPr>
          <w:rFonts w:hint="eastAsia"/>
        </w:rPr>
        <w:t>16．投标保证金</w:t>
      </w:r>
    </w:p>
    <w:p w14:paraId="3C61111B">
      <w:pPr>
        <w:adjustRightInd w:val="0"/>
        <w:snapToGrid w:val="0"/>
        <w:spacing w:line="360" w:lineRule="auto"/>
        <w:ind w:firstLine="480" w:firstLineChars="200"/>
      </w:pPr>
      <w:r>
        <w:rPr>
          <w:rFonts w:hint="eastAsia"/>
        </w:rPr>
        <w:t>本项目不收取投标保证金。招标文件中涉及投标保证金的事项，均按免收投标保证金执行。</w:t>
      </w:r>
    </w:p>
    <w:p w14:paraId="7DEA0B92">
      <w:pPr>
        <w:adjustRightInd w:val="0"/>
        <w:snapToGrid w:val="0"/>
        <w:spacing w:line="360" w:lineRule="auto"/>
        <w:ind w:firstLine="480" w:firstLineChars="200"/>
      </w:pPr>
      <w:r>
        <w:rPr>
          <w:rFonts w:hint="eastAsia"/>
        </w:rPr>
        <w:t>17．投标有效期</w:t>
      </w:r>
    </w:p>
    <w:p w14:paraId="66E166BE">
      <w:pPr>
        <w:adjustRightInd w:val="0"/>
        <w:snapToGrid w:val="0"/>
        <w:spacing w:line="360" w:lineRule="auto"/>
        <w:ind w:firstLine="480" w:firstLineChars="200"/>
      </w:pPr>
      <w:r>
        <w:rPr>
          <w:rFonts w:hint="eastAsia"/>
        </w:rPr>
        <w:t>17.1 投标有效期为采购人规定的开标之日后90日历日。投标有效期比规定短的将被视为非响应性投标而予以拒绝。</w:t>
      </w:r>
    </w:p>
    <w:p w14:paraId="4BBE96A2">
      <w:pPr>
        <w:adjustRightInd w:val="0"/>
        <w:snapToGrid w:val="0"/>
        <w:spacing w:line="360" w:lineRule="auto"/>
        <w:ind w:firstLine="480" w:firstLineChars="200"/>
      </w:pPr>
      <w:r>
        <w:rPr>
          <w:rFonts w:hint="eastAsia"/>
        </w:rPr>
        <w:t>17.2 在特殊情况下，采购人于原投标有效期满之前，可向投标人提出延长投标有效期的要求。这种要求与答复均应采用书面形式。投标人可以拒绝采购人的这一要求而放弃投标，采购人在接到投标人书面答复后，将在原投标有效期满后五日内无息退还其投标保证金。同意延长投标有效期的投标人既不能要求也不允许修改其投标文件。第16条有关投标保证金的没收和退还的规定在延长期内继续有效，同时受投标有效期约束的所有权利与义务均延长至新的有效期。</w:t>
      </w:r>
    </w:p>
    <w:p w14:paraId="6B7F4AB2">
      <w:pPr>
        <w:adjustRightInd w:val="0"/>
        <w:snapToGrid w:val="0"/>
        <w:spacing w:line="360" w:lineRule="auto"/>
        <w:ind w:firstLine="480" w:firstLineChars="200"/>
      </w:pPr>
      <w:bookmarkStart w:id="33" w:name="_Toc513029224"/>
      <w:bookmarkStart w:id="34" w:name="_Toc20823296"/>
      <w:bookmarkStart w:id="35" w:name="_Toc120614217"/>
      <w:bookmarkStart w:id="36" w:name="_Toc16938540"/>
      <w:r>
        <w:rPr>
          <w:rFonts w:hint="eastAsia"/>
        </w:rPr>
        <w:t>四、投标文件的递交</w:t>
      </w:r>
      <w:bookmarkEnd w:id="33"/>
      <w:bookmarkEnd w:id="34"/>
      <w:bookmarkEnd w:id="35"/>
      <w:bookmarkEnd w:id="36"/>
    </w:p>
    <w:p w14:paraId="64259233">
      <w:pPr>
        <w:adjustRightInd w:val="0"/>
        <w:snapToGrid w:val="0"/>
        <w:spacing w:line="360" w:lineRule="auto"/>
        <w:ind w:firstLine="480" w:firstLineChars="200"/>
      </w:pPr>
      <w:r>
        <w:t>18</w:t>
      </w:r>
      <w:r>
        <w:rPr>
          <w:rFonts w:hint="eastAsia"/>
        </w:rPr>
        <w:t>．投标文件的递交</w:t>
      </w:r>
    </w:p>
    <w:p w14:paraId="4713FDA1">
      <w:pPr>
        <w:adjustRightInd w:val="0"/>
        <w:snapToGrid w:val="0"/>
        <w:spacing w:line="360" w:lineRule="auto"/>
        <w:ind w:firstLine="480" w:firstLineChars="200"/>
      </w:pPr>
      <w:bookmarkStart w:id="37" w:name="_Toc513029231"/>
      <w:bookmarkStart w:id="38" w:name="_Toc20823303"/>
      <w:bookmarkStart w:id="39" w:name="_Toc16938547"/>
      <w:r>
        <w:rPr>
          <w:rFonts w:hint="eastAsia"/>
        </w:rPr>
        <w:t>18.1投标供应商应严格按照招标文件的规定，在投标截止时间前制作并上传电子投标文件。</w:t>
      </w:r>
    </w:p>
    <w:p w14:paraId="3B567BD2">
      <w:pPr>
        <w:adjustRightInd w:val="0"/>
        <w:snapToGrid w:val="0"/>
        <w:spacing w:line="360" w:lineRule="auto"/>
        <w:ind w:firstLine="480" w:firstLineChars="200"/>
      </w:pPr>
      <w:r>
        <w:rPr>
          <w:rFonts w:hint="eastAsia"/>
        </w:rPr>
        <w:t>19.投标截止日期</w:t>
      </w:r>
    </w:p>
    <w:p w14:paraId="06A7B7D0">
      <w:pPr>
        <w:adjustRightInd w:val="0"/>
        <w:snapToGrid w:val="0"/>
        <w:spacing w:line="360" w:lineRule="auto"/>
        <w:ind w:firstLine="480" w:firstLineChars="200"/>
      </w:pPr>
      <w:r>
        <w:rPr>
          <w:rFonts w:hint="eastAsia"/>
        </w:rPr>
        <w:t>19.1投标供应商上传电子投标文件的时间不得迟于招标公告中规定的投标截止时间。</w:t>
      </w:r>
    </w:p>
    <w:p w14:paraId="4C40EE22">
      <w:pPr>
        <w:adjustRightInd w:val="0"/>
        <w:snapToGrid w:val="0"/>
        <w:spacing w:line="360" w:lineRule="auto"/>
        <w:ind w:firstLine="480" w:firstLineChars="200"/>
      </w:pPr>
      <w:r>
        <w:rPr>
          <w:rFonts w:hint="eastAsia"/>
        </w:rPr>
        <w:t>投标人应充分考虑到网络环境、网络带宽等风险因素，如因投标人自身原因造成的电子投标文件上传不成功由投标人自行承担全部责任。</w:t>
      </w:r>
    </w:p>
    <w:p w14:paraId="6DA91748">
      <w:pPr>
        <w:adjustRightInd w:val="0"/>
        <w:snapToGrid w:val="0"/>
        <w:spacing w:line="360" w:lineRule="auto"/>
        <w:ind w:firstLine="480" w:firstLineChars="200"/>
      </w:pPr>
      <w:r>
        <w:rPr>
          <w:rFonts w:hint="eastAsia"/>
        </w:rPr>
        <w:t>19.2招标人可以按照规定，通过修改招标文件酌情延长投标截止日期，在此情况下，投标人的所有权利和义务以及投标人受制的截止日期均应以延长后新的截止日期为准。</w:t>
      </w:r>
    </w:p>
    <w:p w14:paraId="7F9F02E1">
      <w:pPr>
        <w:adjustRightInd w:val="0"/>
        <w:snapToGrid w:val="0"/>
        <w:spacing w:line="360" w:lineRule="auto"/>
        <w:ind w:firstLine="480" w:firstLineChars="200"/>
      </w:pPr>
      <w:r>
        <w:rPr>
          <w:rFonts w:hint="eastAsia"/>
        </w:rPr>
        <w:t>20．投标文件的拒收</w:t>
      </w:r>
    </w:p>
    <w:p w14:paraId="4CD4CDF5">
      <w:pPr>
        <w:adjustRightInd w:val="0"/>
        <w:snapToGrid w:val="0"/>
        <w:spacing w:line="360" w:lineRule="auto"/>
        <w:ind w:firstLine="480" w:firstLineChars="200"/>
      </w:pPr>
      <w:r>
        <w:rPr>
          <w:rFonts w:hint="eastAsia"/>
        </w:rPr>
        <w:t>20.1</w:t>
      </w:r>
      <w:r>
        <w:rPr>
          <w:rFonts w:hint="eastAsia"/>
          <w:bCs/>
        </w:rPr>
        <w:t>招标人</w:t>
      </w:r>
      <w:r>
        <w:rPr>
          <w:rFonts w:hint="eastAsia"/>
        </w:rPr>
        <w:t>拒绝接收在其规定的投标截止时间后上传的任何投标文件。</w:t>
      </w:r>
    </w:p>
    <w:p w14:paraId="7F89CE4A">
      <w:pPr>
        <w:adjustRightInd w:val="0"/>
        <w:snapToGrid w:val="0"/>
        <w:spacing w:line="360" w:lineRule="auto"/>
        <w:ind w:firstLine="480" w:firstLineChars="200"/>
      </w:pPr>
      <w:r>
        <w:rPr>
          <w:rFonts w:hint="eastAsia"/>
        </w:rPr>
        <w:t>21.投标文件的撤回和修改</w:t>
      </w:r>
    </w:p>
    <w:p w14:paraId="285F7F11">
      <w:pPr>
        <w:adjustRightInd w:val="0"/>
        <w:snapToGrid w:val="0"/>
        <w:spacing w:line="360" w:lineRule="auto"/>
        <w:ind w:firstLine="480" w:firstLineChars="200"/>
      </w:pPr>
      <w:r>
        <w:rPr>
          <w:rFonts w:hint="eastAsia"/>
        </w:rPr>
        <w:t>20.1 电子投标文件的撤回</w:t>
      </w:r>
    </w:p>
    <w:p w14:paraId="73DE1640">
      <w:pPr>
        <w:adjustRightInd w:val="0"/>
        <w:snapToGrid w:val="0"/>
        <w:spacing w:line="360" w:lineRule="auto"/>
        <w:ind w:firstLine="480" w:firstLineChars="200"/>
      </w:pPr>
      <w:r>
        <w:rPr>
          <w:rFonts w:hint="eastAsia"/>
        </w:rPr>
        <w:t>（1）投标人可在投标截止时间前，撤回其电子投标文件，具体操作方法见《操作手册（投标人）》。</w:t>
      </w:r>
    </w:p>
    <w:p w14:paraId="0177D6D4">
      <w:pPr>
        <w:adjustRightInd w:val="0"/>
        <w:snapToGrid w:val="0"/>
        <w:spacing w:line="360" w:lineRule="auto"/>
        <w:ind w:firstLine="480" w:firstLineChars="200"/>
      </w:pPr>
      <w:r>
        <w:rPr>
          <w:rFonts w:hint="eastAsia"/>
        </w:rPr>
        <w:t>（2）投标人撤回电子投标文件，则认为其不再参与本项目投标活动。</w:t>
      </w:r>
    </w:p>
    <w:p w14:paraId="3CEF6198">
      <w:pPr>
        <w:adjustRightInd w:val="0"/>
        <w:snapToGrid w:val="0"/>
        <w:spacing w:line="360" w:lineRule="auto"/>
        <w:ind w:firstLine="480" w:firstLineChars="200"/>
      </w:pPr>
      <w:r>
        <w:rPr>
          <w:rFonts w:hint="eastAsia"/>
        </w:rPr>
        <w:t>20.2 投标文件的修改</w:t>
      </w:r>
    </w:p>
    <w:p w14:paraId="4DBC9CD0">
      <w:pPr>
        <w:adjustRightInd w:val="0"/>
        <w:snapToGrid w:val="0"/>
        <w:spacing w:line="360" w:lineRule="auto"/>
        <w:ind w:firstLine="480" w:firstLineChars="200"/>
      </w:pPr>
      <w:r>
        <w:rPr>
          <w:rFonts w:hint="eastAsia"/>
        </w:rPr>
        <w:t>投标人可在投标截止时间前，对其电子投标文件进行修改，具体操作方法见《操作手册》。</w:t>
      </w:r>
    </w:p>
    <w:p w14:paraId="36D583A1">
      <w:pPr>
        <w:adjustRightInd w:val="0"/>
        <w:snapToGrid w:val="0"/>
        <w:spacing w:line="360" w:lineRule="auto"/>
        <w:ind w:firstLine="480" w:firstLineChars="200"/>
      </w:pPr>
      <w:r>
        <w:rPr>
          <w:rFonts w:hint="eastAsia"/>
        </w:rPr>
        <w:t>20.3在投标截止时间之后，投标人不得对其电子投标文件作任何修改。</w:t>
      </w:r>
    </w:p>
    <w:p w14:paraId="603D07EB">
      <w:pPr>
        <w:adjustRightInd w:val="0"/>
        <w:snapToGrid w:val="0"/>
        <w:spacing w:line="360" w:lineRule="auto"/>
        <w:ind w:firstLine="480" w:firstLineChars="200"/>
      </w:pPr>
      <w:r>
        <w:rPr>
          <w:rFonts w:hint="eastAsia"/>
        </w:rPr>
        <w:t>20.4在投标截止时间至招标文件中规定的投标有效期满之间的这段时间内，投标人不得撤回其投标。</w:t>
      </w:r>
    </w:p>
    <w:p w14:paraId="31DEDD0F">
      <w:pPr>
        <w:adjustRightInd w:val="0"/>
        <w:snapToGrid w:val="0"/>
        <w:spacing w:line="360" w:lineRule="auto"/>
        <w:ind w:firstLine="480" w:firstLineChars="200"/>
      </w:pPr>
      <w:bookmarkStart w:id="40" w:name="_Toc20823301"/>
      <w:bookmarkStart w:id="41" w:name="_Toc16938545"/>
      <w:bookmarkStart w:id="42" w:name="_Toc513029229"/>
      <w:bookmarkStart w:id="43" w:name="_Toc120614218"/>
      <w:bookmarkStart w:id="44" w:name="_Toc335123865"/>
      <w:r>
        <w:rPr>
          <w:rFonts w:hint="eastAsia"/>
        </w:rPr>
        <w:t>五、开标与评标</w:t>
      </w:r>
      <w:bookmarkEnd w:id="40"/>
      <w:bookmarkEnd w:id="41"/>
      <w:bookmarkEnd w:id="42"/>
      <w:bookmarkEnd w:id="43"/>
      <w:bookmarkEnd w:id="44"/>
    </w:p>
    <w:p w14:paraId="67478E5F">
      <w:pPr>
        <w:adjustRightInd w:val="0"/>
        <w:snapToGrid w:val="0"/>
        <w:spacing w:line="360" w:lineRule="auto"/>
        <w:ind w:firstLine="480" w:firstLineChars="200"/>
      </w:pPr>
      <w:bookmarkStart w:id="45" w:name="_Toc16938546"/>
      <w:bookmarkStart w:id="46" w:name="_Toc20823302"/>
      <w:bookmarkStart w:id="47" w:name="_Toc513029230"/>
      <w:r>
        <w:rPr>
          <w:rFonts w:hint="eastAsia"/>
        </w:rPr>
        <w:t>21．开标</w:t>
      </w:r>
      <w:bookmarkEnd w:id="45"/>
      <w:bookmarkEnd w:id="46"/>
      <w:bookmarkEnd w:id="47"/>
    </w:p>
    <w:p w14:paraId="7DCE4C88">
      <w:pPr>
        <w:adjustRightInd w:val="0"/>
        <w:snapToGrid w:val="0"/>
        <w:spacing w:line="360" w:lineRule="auto"/>
        <w:ind w:firstLine="480" w:firstLineChars="200"/>
      </w:pPr>
      <w:r>
        <w:rPr>
          <w:rFonts w:hint="eastAsia" w:ascii="宋体" w:cs="宋体"/>
          <w:bCs/>
        </w:rPr>
        <w:t xml:space="preserve">21.1 </w:t>
      </w:r>
      <w:r>
        <w:rPr>
          <w:rFonts w:hint="eastAsia"/>
        </w:rPr>
        <w:t>交易中心将在招标公告中规定的时间和地点组织公开开标。投标人应当在不见面开标的系统参加开标活动，在规定的时间内对投标文件进行解密。</w:t>
      </w:r>
    </w:p>
    <w:p w14:paraId="405852A3">
      <w:pPr>
        <w:adjustRightInd w:val="0"/>
        <w:snapToGrid w:val="0"/>
        <w:spacing w:line="360" w:lineRule="auto"/>
        <w:ind w:firstLine="480" w:firstLineChars="200"/>
        <w:rPr>
          <w:rFonts w:ascii="宋体" w:cs="宋体"/>
          <w:bCs/>
        </w:rPr>
      </w:pPr>
      <w:r>
        <w:rPr>
          <w:rFonts w:hint="eastAsia" w:ascii="宋体" w:cs="宋体"/>
          <w:bCs/>
        </w:rPr>
        <w:t xml:space="preserve">21.2 </w:t>
      </w:r>
      <w:r>
        <w:rPr>
          <w:rFonts w:hint="eastAsia"/>
        </w:rPr>
        <w:t>开标仪式由招标代理机构组织，在不见面开标的系统中进行开标，分两阶段进行，经济标开标时公布各投标人的《开标一览表》。</w:t>
      </w:r>
    </w:p>
    <w:p w14:paraId="2472389A">
      <w:pPr>
        <w:adjustRightInd w:val="0"/>
        <w:snapToGrid w:val="0"/>
        <w:spacing w:line="360" w:lineRule="auto"/>
        <w:ind w:firstLine="480" w:firstLineChars="200"/>
        <w:rPr>
          <w:rFonts w:ascii="宋体" w:cs="宋体"/>
          <w:bCs/>
        </w:rPr>
      </w:pPr>
      <w:r>
        <w:rPr>
          <w:rFonts w:hint="eastAsia" w:ascii="宋体" w:cs="宋体"/>
          <w:bCs/>
        </w:rPr>
        <w:t xml:space="preserve">21.3 </w:t>
      </w:r>
      <w:r>
        <w:rPr>
          <w:rFonts w:hint="eastAsia"/>
        </w:rPr>
        <w:t>投标人在开标过程中涉及到的投标文件解密、开标结果确认等工作，按照《操作手册（投标人）》执行</w:t>
      </w:r>
      <w:r>
        <w:rPr>
          <w:rFonts w:hint="eastAsia" w:ascii="宋体" w:cs="宋体"/>
          <w:bCs/>
        </w:rPr>
        <w:t>。</w:t>
      </w:r>
    </w:p>
    <w:p w14:paraId="2CE1E903">
      <w:pPr>
        <w:adjustRightInd w:val="0"/>
        <w:snapToGrid w:val="0"/>
        <w:spacing w:line="360" w:lineRule="auto"/>
        <w:ind w:firstLine="480" w:firstLineChars="200"/>
      </w:pPr>
      <w:r>
        <w:rPr>
          <w:rFonts w:hint="eastAsia"/>
        </w:rPr>
        <w:t>22．评标委员会</w:t>
      </w:r>
    </w:p>
    <w:p w14:paraId="2DA1EE99">
      <w:pPr>
        <w:adjustRightInd w:val="0"/>
        <w:snapToGrid w:val="0"/>
        <w:spacing w:line="360" w:lineRule="auto"/>
        <w:ind w:firstLine="480" w:firstLineChars="200"/>
      </w:pPr>
      <w:r>
        <w:rPr>
          <w:rFonts w:hint="eastAsia"/>
        </w:rPr>
        <w:t>22.1开标后，招标代理机构将立即组织评标委员会（以下简称评委会）进行评标。</w:t>
      </w:r>
    </w:p>
    <w:p w14:paraId="3F2DE4F8">
      <w:pPr>
        <w:adjustRightInd w:val="0"/>
        <w:snapToGrid w:val="0"/>
        <w:spacing w:line="360" w:lineRule="auto"/>
        <w:ind w:firstLine="480" w:firstLineChars="200"/>
      </w:pPr>
      <w:r>
        <w:rPr>
          <w:rFonts w:hint="eastAsia"/>
        </w:rPr>
        <w:t>22.2 评委会由招标人代表和有关技术、经济等方面的专家组成，且人员构成符合采购有关规定。</w:t>
      </w:r>
    </w:p>
    <w:p w14:paraId="2B1E7188">
      <w:pPr>
        <w:adjustRightInd w:val="0"/>
        <w:snapToGrid w:val="0"/>
        <w:spacing w:line="360" w:lineRule="auto"/>
        <w:ind w:firstLine="480" w:firstLineChars="200"/>
      </w:pPr>
      <w:r>
        <w:rPr>
          <w:rFonts w:hint="eastAsia"/>
        </w:rPr>
        <w:t>22.3评委会独立工作，负责评审所有投标文件并确定中标侯选人。</w:t>
      </w:r>
    </w:p>
    <w:p w14:paraId="67A3441B">
      <w:pPr>
        <w:adjustRightInd w:val="0"/>
        <w:snapToGrid w:val="0"/>
        <w:spacing w:line="360" w:lineRule="auto"/>
        <w:ind w:firstLine="480" w:firstLineChars="200"/>
      </w:pPr>
      <w:r>
        <w:rPr>
          <w:rFonts w:hint="eastAsia"/>
        </w:rPr>
        <w:t>23．评标过程的保密</w:t>
      </w:r>
      <w:bookmarkEnd w:id="37"/>
      <w:bookmarkEnd w:id="38"/>
      <w:bookmarkEnd w:id="39"/>
      <w:r>
        <w:rPr>
          <w:rFonts w:hint="eastAsia"/>
        </w:rPr>
        <w:t>与公正</w:t>
      </w:r>
    </w:p>
    <w:p w14:paraId="3DDBE566">
      <w:pPr>
        <w:adjustRightInd w:val="0"/>
        <w:snapToGrid w:val="0"/>
        <w:spacing w:line="360" w:lineRule="auto"/>
        <w:ind w:firstLine="480" w:firstLineChars="200"/>
      </w:pPr>
      <w:r>
        <w:rPr>
          <w:rFonts w:hint="eastAsia"/>
        </w:rPr>
        <w:t>23.1公开开标后，直至向中标的投标人授予合同时止，凡是与审查、澄清、评价和比较投标的有关资料以及授标建议等，均不得向投标人或与评标无关的其他人员透露。</w:t>
      </w:r>
    </w:p>
    <w:p w14:paraId="745C372E">
      <w:pPr>
        <w:adjustRightInd w:val="0"/>
        <w:snapToGrid w:val="0"/>
        <w:spacing w:line="360" w:lineRule="auto"/>
        <w:ind w:firstLine="480" w:firstLineChars="200"/>
        <w:rPr>
          <w:rFonts w:ascii="宋体" w:cs="宋体"/>
        </w:rPr>
      </w:pPr>
      <w:r>
        <w:rPr>
          <w:rFonts w:hint="eastAsia" w:ascii="宋体" w:cs="宋体"/>
        </w:rPr>
        <w:t>23.2</w:t>
      </w:r>
      <w:r>
        <w:rPr>
          <w:rFonts w:hint="eastAsia"/>
        </w:rPr>
        <w:t>在评标过程中，投标人不得以任何行为影响评标过程，否则其投标文件将被作为无效投标文件</w:t>
      </w:r>
      <w:r>
        <w:rPr>
          <w:rFonts w:hint="eastAsia" w:ascii="宋体" w:cs="宋体"/>
        </w:rPr>
        <w:t>。</w:t>
      </w:r>
    </w:p>
    <w:p w14:paraId="085D000F">
      <w:pPr>
        <w:adjustRightInd w:val="0"/>
        <w:snapToGrid w:val="0"/>
        <w:spacing w:line="360" w:lineRule="auto"/>
        <w:ind w:firstLine="480" w:firstLineChars="200"/>
      </w:pPr>
      <w:r>
        <w:rPr>
          <w:rFonts w:hint="eastAsia"/>
        </w:rPr>
        <w:t>23.3在评标期间，招标代理机构将设专门人员与投标人联系。</w:t>
      </w:r>
    </w:p>
    <w:p w14:paraId="3EEEF0B2">
      <w:pPr>
        <w:adjustRightInd w:val="0"/>
        <w:snapToGrid w:val="0"/>
        <w:spacing w:line="360" w:lineRule="auto"/>
        <w:ind w:firstLine="480" w:firstLineChars="200"/>
      </w:pPr>
      <w:r>
        <w:rPr>
          <w:rFonts w:hint="eastAsia"/>
        </w:rPr>
        <w:t>23.4招标代理机构和评标委员会不向未中标的投标人解释未中标原因，也不公布评标过程中的相关细节。</w:t>
      </w:r>
    </w:p>
    <w:p w14:paraId="17AD80A7">
      <w:pPr>
        <w:adjustRightInd w:val="0"/>
        <w:snapToGrid w:val="0"/>
        <w:spacing w:line="360" w:lineRule="auto"/>
        <w:ind w:firstLine="480" w:firstLineChars="200"/>
        <w:rPr>
          <w:rFonts w:ascii="宋体" w:cs="宋体"/>
          <w:b/>
        </w:rPr>
      </w:pPr>
      <w:r>
        <w:rPr>
          <w:rFonts w:hint="eastAsia" w:ascii="宋体" w:cs="宋体"/>
        </w:rPr>
        <w:t>23.4</w:t>
      </w:r>
      <w:r>
        <w:rPr>
          <w:rFonts w:hint="eastAsia"/>
        </w:rPr>
        <w:t>采用综合评分法的项目，公布评标结果时一并在“不见面开标的系统”中公布所有投标人的评审得分及排序情况</w:t>
      </w:r>
      <w:r>
        <w:rPr>
          <w:rFonts w:hint="eastAsia" w:ascii="宋体" w:cs="宋体"/>
        </w:rPr>
        <w:t>。</w:t>
      </w:r>
    </w:p>
    <w:p w14:paraId="4E048929">
      <w:pPr>
        <w:adjustRightInd w:val="0"/>
        <w:snapToGrid w:val="0"/>
        <w:spacing w:line="360" w:lineRule="auto"/>
        <w:ind w:firstLine="480" w:firstLineChars="200"/>
      </w:pPr>
      <w:bookmarkStart w:id="48" w:name="_Toc513029232"/>
      <w:bookmarkStart w:id="49" w:name="_Toc20823304"/>
      <w:bookmarkStart w:id="50" w:name="_Toc16938548"/>
      <w:r>
        <w:rPr>
          <w:rFonts w:hint="eastAsia"/>
        </w:rPr>
        <w:t>24．投标的澄清</w:t>
      </w:r>
      <w:bookmarkEnd w:id="48"/>
      <w:bookmarkEnd w:id="49"/>
      <w:bookmarkEnd w:id="50"/>
    </w:p>
    <w:p w14:paraId="496362C8">
      <w:pPr>
        <w:adjustRightInd w:val="0"/>
        <w:snapToGrid w:val="0"/>
        <w:spacing w:line="360" w:lineRule="auto"/>
        <w:ind w:firstLine="480" w:firstLineChars="200"/>
        <w:rPr>
          <w:rFonts w:ascii="宋体" w:cs="宋体"/>
        </w:rPr>
      </w:pPr>
      <w:r>
        <w:rPr>
          <w:rFonts w:hint="eastAsia" w:ascii="宋体" w:cs="宋体"/>
        </w:rPr>
        <w:t>24.1</w:t>
      </w:r>
      <w:r>
        <w:rPr>
          <w:rFonts w:hint="eastAsia"/>
        </w:rPr>
        <w:t>评标期间，为有助于对投标文件的审查、评价和比较，评委会有权以电子函件形式要求投标人对其投标文件进行澄清，但并非对每个投标人都作澄清要求</w:t>
      </w:r>
      <w:r>
        <w:rPr>
          <w:rFonts w:hint="eastAsia" w:ascii="宋体" w:cs="宋体"/>
        </w:rPr>
        <w:t>。</w:t>
      </w:r>
    </w:p>
    <w:p w14:paraId="205A2454">
      <w:pPr>
        <w:adjustRightInd w:val="0"/>
        <w:snapToGrid w:val="0"/>
        <w:spacing w:line="360" w:lineRule="auto"/>
        <w:ind w:firstLine="480" w:firstLineChars="200"/>
        <w:rPr>
          <w:rFonts w:ascii="宋体" w:cs="宋体"/>
        </w:rPr>
      </w:pPr>
      <w:r>
        <w:rPr>
          <w:rFonts w:hint="eastAsia" w:ascii="宋体" w:cs="宋体"/>
        </w:rPr>
        <w:t>24.2</w:t>
      </w:r>
      <w:r>
        <w:rPr>
          <w:rFonts w:hint="eastAsia"/>
        </w:rPr>
        <w:t>接到评委会澄清要求的投标人应派人按评委会规定的时间和格式做出澄清，澄清的内容作为投标文件的补充部分，但投标的价格和实质性的内容不得做任何更改</w:t>
      </w:r>
      <w:r>
        <w:rPr>
          <w:rFonts w:hint="eastAsia" w:ascii="宋体" w:cs="宋体"/>
        </w:rPr>
        <w:t>。</w:t>
      </w:r>
    </w:p>
    <w:p w14:paraId="1EE85053">
      <w:pPr>
        <w:adjustRightInd w:val="0"/>
        <w:snapToGrid w:val="0"/>
        <w:spacing w:line="360" w:lineRule="auto"/>
        <w:ind w:firstLine="480" w:firstLineChars="200"/>
      </w:pPr>
      <w:r>
        <w:rPr>
          <w:rFonts w:hint="eastAsia"/>
        </w:rPr>
        <w:t>24.3接到评委会澄清要求的投标人如未按规定做出澄清，将视为放弃该权利，其风险由投标人自行承担。</w:t>
      </w:r>
    </w:p>
    <w:p w14:paraId="4942B40D">
      <w:pPr>
        <w:adjustRightInd w:val="0"/>
        <w:snapToGrid w:val="0"/>
        <w:spacing w:line="360" w:lineRule="auto"/>
        <w:ind w:firstLine="480" w:firstLineChars="200"/>
      </w:pPr>
      <w:r>
        <w:rPr>
          <w:rFonts w:hint="eastAsia"/>
        </w:rPr>
        <w:t>24.4评委会不接受投标主动提出的澄清。</w:t>
      </w:r>
    </w:p>
    <w:p w14:paraId="77391D82">
      <w:pPr>
        <w:adjustRightInd w:val="0"/>
        <w:snapToGrid w:val="0"/>
        <w:spacing w:line="360" w:lineRule="auto"/>
        <w:ind w:firstLine="480" w:firstLineChars="200"/>
      </w:pPr>
      <w:bookmarkStart w:id="51" w:name="_Toc513029233"/>
      <w:bookmarkStart w:id="52" w:name="_Toc16938549"/>
      <w:bookmarkStart w:id="53" w:name="_Toc20823305"/>
      <w:r>
        <w:rPr>
          <w:rFonts w:hint="eastAsia"/>
        </w:rPr>
        <w:t>25．对投标文件的初审</w:t>
      </w:r>
      <w:bookmarkEnd w:id="51"/>
      <w:bookmarkEnd w:id="52"/>
      <w:bookmarkEnd w:id="53"/>
    </w:p>
    <w:p w14:paraId="1D901200">
      <w:pPr>
        <w:adjustRightInd w:val="0"/>
        <w:snapToGrid w:val="0"/>
        <w:spacing w:line="360" w:lineRule="auto"/>
        <w:ind w:firstLine="480" w:firstLineChars="200"/>
      </w:pPr>
      <w:r>
        <w:rPr>
          <w:rFonts w:hint="eastAsia"/>
        </w:rPr>
        <w:t>25.1投标文件初审分为资格性检查和符合性检查。</w:t>
      </w:r>
    </w:p>
    <w:p w14:paraId="272C7E7B">
      <w:pPr>
        <w:adjustRightInd w:val="0"/>
        <w:snapToGrid w:val="0"/>
        <w:spacing w:line="360" w:lineRule="auto"/>
        <w:ind w:firstLine="480" w:firstLineChars="200"/>
      </w:pPr>
      <w:r>
        <w:rPr>
          <w:rFonts w:hint="eastAsia"/>
        </w:rPr>
        <w:t>资格性检查：依据法律法规和招标文件的规定，由招标人对投标文件中的资格证明文件进行审查。资格审查的结论，招标人以书面形式向评委会进行反馈。</w:t>
      </w:r>
    </w:p>
    <w:p w14:paraId="2DFA985E">
      <w:pPr>
        <w:adjustRightInd w:val="0"/>
        <w:snapToGrid w:val="0"/>
        <w:spacing w:line="360" w:lineRule="auto"/>
        <w:ind w:firstLine="480" w:firstLineChars="200"/>
      </w:pPr>
      <w:r>
        <w:rPr>
          <w:rFonts w:hint="eastAsia"/>
        </w:rPr>
        <w:t>评委会在进行资格性审查的同时，将在“信用中国”网站（www.creditchina.gov.cn）对供应商是否被列入失信被执行人、重大税收违法案件当事人名单、政府采购严重失信行为记录名单情况进行查询，以确定供应商是否具备参加评审的资格。查询结果将以网页打印的形式留存并归档。</w:t>
      </w:r>
    </w:p>
    <w:p w14:paraId="1701CF7C">
      <w:pPr>
        <w:adjustRightInd w:val="0"/>
        <w:snapToGrid w:val="0"/>
        <w:spacing w:line="360" w:lineRule="auto"/>
        <w:ind w:firstLine="480" w:firstLineChars="200"/>
      </w:pPr>
      <w:r>
        <w:rPr>
          <w:rFonts w:hint="eastAsia"/>
        </w:rPr>
        <w:t>接受联合体的项目，两个以上的自然人、法人或者其他组织组成一个联合体，以一个供应商的身份共同参加政府采购活动的,联合体成员中任何一方存在不良信用记录的，视同联合体存在不良信用记录。</w:t>
      </w:r>
    </w:p>
    <w:p w14:paraId="6DE5871A">
      <w:pPr>
        <w:adjustRightInd w:val="0"/>
        <w:snapToGrid w:val="0"/>
        <w:spacing w:line="360" w:lineRule="auto"/>
        <w:ind w:firstLine="480" w:firstLineChars="200"/>
        <w:rPr>
          <w:rFonts w:ascii="宋体" w:cs="宋体"/>
        </w:rPr>
      </w:pPr>
      <w:r>
        <w:rPr>
          <w:rFonts w:hint="eastAsia" w:ascii="宋体" w:cs="宋体"/>
        </w:rPr>
        <w:t>符合性检查：依据招标文件的规定，</w:t>
      </w:r>
      <w:r>
        <w:rPr>
          <w:rFonts w:hint="eastAsia"/>
        </w:rPr>
        <w:t>由评委会从投标文件的有效性、完整性和对招标文件的响应程度进行审查，以确定是否对招标文件的实质性要求作出响应</w:t>
      </w:r>
      <w:r>
        <w:rPr>
          <w:rFonts w:hint="eastAsia" w:ascii="宋体" w:cs="宋体"/>
        </w:rPr>
        <w:t>。</w:t>
      </w:r>
    </w:p>
    <w:p w14:paraId="69DF1551">
      <w:pPr>
        <w:adjustRightInd w:val="0"/>
        <w:snapToGrid w:val="0"/>
        <w:spacing w:line="360" w:lineRule="auto"/>
        <w:ind w:firstLine="480" w:firstLineChars="200"/>
      </w:pPr>
      <w:r>
        <w:rPr>
          <w:rFonts w:hint="eastAsia" w:ascii="宋体" w:cs="宋体"/>
        </w:rPr>
        <w:t>25.2</w:t>
      </w:r>
      <w:r>
        <w:rPr>
          <w:rFonts w:hint="eastAsia"/>
        </w:rPr>
        <w:t>未通过资格审查或符合性审查的投标人，招标代理机构将告知未通过资格审查或符合性审查的原因，评审结束后，招标代理机构将不再告知未通过资格审查或符合性审查的原因。</w:t>
      </w:r>
    </w:p>
    <w:p w14:paraId="64FF25CB">
      <w:pPr>
        <w:adjustRightInd w:val="0"/>
        <w:snapToGrid w:val="0"/>
        <w:spacing w:line="360" w:lineRule="auto"/>
        <w:ind w:firstLine="480" w:firstLineChars="200"/>
        <w:rPr>
          <w:rFonts w:ascii="宋体" w:cs="宋体"/>
        </w:rPr>
      </w:pPr>
      <w:r>
        <w:rPr>
          <w:rFonts w:hint="eastAsia"/>
        </w:rPr>
        <w:t>25.3在详细评标之前，评委会将首先审查每份投标文件是否实质性响应了招标文件的要求。实质性响应的投标应该是与招标文件要求的全部条款、条件和规格相符，没有重大偏离或保留的投标。</w:t>
      </w:r>
    </w:p>
    <w:p w14:paraId="4BE74420">
      <w:pPr>
        <w:adjustRightInd w:val="0"/>
        <w:snapToGrid w:val="0"/>
        <w:spacing w:line="360" w:lineRule="auto"/>
        <w:ind w:firstLine="480" w:firstLineChars="200"/>
      </w:pPr>
      <w:r>
        <w:rPr>
          <w:rFonts w:hint="eastAsia"/>
        </w:rPr>
        <w:t>所谓重大偏离或保留是指与招标文件规定的实质性要求存在负偏离，或者在实质上与招标文件不一致，而且限制了合同中招标人的权利或投标人的义务，纠正这些偏离或保留将会对其他实质性响应要求的投标人的竞争地位产生不公正的影响。重大偏离的认定需经过多数评委会成员的认定。评委决定投标文件的响应性只根据投标文件本身的内容，而不寻求外部的证据。</w:t>
      </w:r>
    </w:p>
    <w:p w14:paraId="24FE4F89">
      <w:pPr>
        <w:adjustRightInd w:val="0"/>
        <w:snapToGrid w:val="0"/>
        <w:spacing w:line="360" w:lineRule="auto"/>
        <w:ind w:firstLine="480" w:firstLineChars="200"/>
      </w:pPr>
      <w:r>
        <w:rPr>
          <w:rFonts w:hint="eastAsia"/>
        </w:rPr>
        <w:t>25.4如果投标文件实质上没有响应招标文件的要求，评委会将予以拒绝，投标人不得通过修改或撤销不合要求的偏离或保留而使其投标成为实质性响应的投标。</w:t>
      </w:r>
    </w:p>
    <w:p w14:paraId="5E76D363">
      <w:pPr>
        <w:adjustRightInd w:val="0"/>
        <w:snapToGrid w:val="0"/>
        <w:spacing w:line="360" w:lineRule="auto"/>
        <w:ind w:firstLine="480" w:firstLineChars="200"/>
      </w:pPr>
      <w:r>
        <w:rPr>
          <w:rFonts w:hint="eastAsia"/>
        </w:rPr>
        <w:t>25.5评委会将对确定为实质性响应的投标进行进一步审核，看其是否有计算上或累加上的算术错误，若出现相互矛盾之处，应以排列在先的原则为准优先处理：</w:t>
      </w:r>
    </w:p>
    <w:p w14:paraId="65C16245">
      <w:pPr>
        <w:adjustRightInd w:val="0"/>
        <w:snapToGrid w:val="0"/>
        <w:spacing w:line="360" w:lineRule="auto"/>
        <w:ind w:firstLine="480" w:firstLineChars="200"/>
      </w:pPr>
      <w:r>
        <w:rPr>
          <w:rFonts w:hint="eastAsia"/>
        </w:rPr>
        <w:t>（1）投标文件中开标一览表内容与投标文件中相应内容不一致的，以开标一览表为准。</w:t>
      </w:r>
    </w:p>
    <w:p w14:paraId="1C8B1FF5">
      <w:pPr>
        <w:adjustRightInd w:val="0"/>
        <w:snapToGrid w:val="0"/>
        <w:spacing w:line="360" w:lineRule="auto"/>
        <w:ind w:firstLine="480" w:firstLineChars="200"/>
      </w:pPr>
      <w:r>
        <w:rPr>
          <w:rFonts w:hint="eastAsia"/>
        </w:rPr>
        <w:t>（2）大写金额和小写金额不一致的，以大写金额为准。</w:t>
      </w:r>
    </w:p>
    <w:p w14:paraId="0EB866C6">
      <w:pPr>
        <w:adjustRightInd w:val="0"/>
        <w:snapToGrid w:val="0"/>
        <w:spacing w:line="360" w:lineRule="auto"/>
        <w:ind w:firstLine="480" w:firstLineChars="200"/>
      </w:pPr>
      <w:r>
        <w:rPr>
          <w:rFonts w:hint="eastAsia"/>
        </w:rPr>
        <w:t>（3）单价金额小数点或者百分比有明显错位的，以开标一览表的总价为准，并修改单价。</w:t>
      </w:r>
    </w:p>
    <w:p w14:paraId="22A03CBF">
      <w:pPr>
        <w:adjustRightInd w:val="0"/>
        <w:snapToGrid w:val="0"/>
        <w:spacing w:line="360" w:lineRule="auto"/>
        <w:ind w:firstLine="480" w:firstLineChars="200"/>
      </w:pPr>
      <w:r>
        <w:rPr>
          <w:rFonts w:hint="eastAsia"/>
        </w:rPr>
        <w:t>（4）总价金额与按单价汇总金额不一致的，以单价金额计算结果为准。</w:t>
      </w:r>
    </w:p>
    <w:p w14:paraId="11116834">
      <w:pPr>
        <w:adjustRightInd w:val="0"/>
        <w:snapToGrid w:val="0"/>
        <w:spacing w:line="360" w:lineRule="auto"/>
        <w:ind w:firstLine="480" w:firstLineChars="200"/>
      </w:pPr>
      <w:r>
        <w:rPr>
          <w:rFonts w:hint="eastAsia"/>
        </w:rPr>
        <w:t>同时出现两种以上错误的，按照前款规定的顺序修正。</w:t>
      </w:r>
    </w:p>
    <w:p w14:paraId="270984B0">
      <w:pPr>
        <w:adjustRightInd w:val="0"/>
        <w:snapToGrid w:val="0"/>
        <w:spacing w:line="360" w:lineRule="auto"/>
        <w:ind w:firstLine="480" w:firstLineChars="200"/>
      </w:pPr>
      <w:r>
        <w:rPr>
          <w:rFonts w:hint="eastAsia" w:ascii="宋体" w:cs="宋体"/>
        </w:rPr>
        <w:t>25.6</w:t>
      </w:r>
      <w:r>
        <w:rPr>
          <w:rFonts w:hint="eastAsia"/>
        </w:rPr>
        <w:t>评委会将按上述修正错误的方法调整投标文件中的投标报价，并告知投标人，调整后的价格应对投标人具有约束力。如果投标人不接受修正后的价格，则其投标将被拒绝。</w:t>
      </w:r>
    </w:p>
    <w:p w14:paraId="4F7A8CFA">
      <w:pPr>
        <w:adjustRightInd w:val="0"/>
        <w:snapToGrid w:val="0"/>
        <w:spacing w:line="360" w:lineRule="auto"/>
        <w:ind w:firstLine="480" w:firstLineChars="200"/>
      </w:pPr>
      <w:r>
        <w:rPr>
          <w:rFonts w:hint="eastAsia"/>
        </w:rPr>
        <w:t>25.7评委会将允许修正投标文件中不构成重大偏离的、微小的、非正规的、不一致的或不规则的地方，但这些修改不能影响任何投标人相应的名次排列。</w:t>
      </w:r>
    </w:p>
    <w:p w14:paraId="0CC622F2">
      <w:pPr>
        <w:adjustRightInd w:val="0"/>
        <w:snapToGrid w:val="0"/>
        <w:spacing w:line="360" w:lineRule="auto"/>
        <w:ind w:firstLine="480" w:firstLineChars="200"/>
      </w:pPr>
      <w:r>
        <w:rPr>
          <w:rFonts w:hint="eastAsia"/>
        </w:rPr>
        <w:t>25.8采用最低评标价法的招标项目，提供的投标产品（服务）全部为相同品牌产品的不同投标人参加同一合同项下投标的，以其中通过资格审查、符合性审查且投标最低的参加评标；报价相同的，由评标委员会按照招标文件规定的方式（招标文件未规定的通过随机抽取的方式）确定一个参加评标的投标人，其他投标无效。</w:t>
      </w:r>
    </w:p>
    <w:p w14:paraId="5152B5C7">
      <w:pPr>
        <w:adjustRightInd w:val="0"/>
        <w:snapToGrid w:val="0"/>
        <w:spacing w:line="360" w:lineRule="auto"/>
        <w:ind w:firstLine="480" w:firstLineChars="200"/>
      </w:pPr>
      <w:r>
        <w:rPr>
          <w:rFonts w:hint="eastAsia"/>
        </w:rPr>
        <w:t>采用综合评分法的招标项目，提供的投标产品（服务）全部为相同品牌产品且通过资格审查、符合性审查的不同投标人参加同一合同项下投标的，按一家投标人计算，评审后得分最高的投标人获得中标人推荐资格；评审得分相同的，由评标委员会根据招标文件规定的方式（招标文件未规定的采取随机抽取的方式）确定一个中标候选人，其他投标产品全部为相同品牌投标人不作为中标候选人。</w:t>
      </w:r>
    </w:p>
    <w:p w14:paraId="37BD82AE">
      <w:pPr>
        <w:adjustRightInd w:val="0"/>
        <w:snapToGrid w:val="0"/>
        <w:spacing w:line="360" w:lineRule="auto"/>
        <w:ind w:firstLine="480" w:firstLineChars="200"/>
      </w:pPr>
      <w:bookmarkStart w:id="54" w:name="_Toc16938550"/>
      <w:bookmarkStart w:id="55" w:name="_Toc513029234"/>
      <w:bookmarkStart w:id="56" w:name="_Toc20823306"/>
      <w:r>
        <w:rPr>
          <w:rFonts w:hint="eastAsia"/>
        </w:rPr>
        <w:t>非单一产品采购项目，招标文件中将载明其中的核心产品。多家投标人提供的核心产品品牌相同的，按前两款规定处理。</w:t>
      </w:r>
    </w:p>
    <w:p w14:paraId="51A93901">
      <w:pPr>
        <w:adjustRightInd w:val="0"/>
        <w:snapToGrid w:val="0"/>
        <w:spacing w:line="360" w:lineRule="auto"/>
        <w:ind w:firstLine="480" w:firstLineChars="200"/>
      </w:pPr>
      <w:r>
        <w:rPr>
          <w:rFonts w:hint="eastAsia"/>
          <w:bCs/>
        </w:rPr>
        <w:t>25.9</w:t>
      </w:r>
      <w:r>
        <w:rPr>
          <w:rFonts w:hint="eastAsia"/>
        </w:rPr>
        <w:t xml:space="preserve"> 投标人在开、评标全过程中应保持通讯畅通，并安排专人与招标代理机构及评标委员会联系。</w:t>
      </w:r>
    </w:p>
    <w:p w14:paraId="17DCA88C">
      <w:pPr>
        <w:adjustRightInd w:val="0"/>
        <w:snapToGrid w:val="0"/>
        <w:spacing w:line="360" w:lineRule="auto"/>
        <w:ind w:firstLine="480" w:firstLineChars="200"/>
      </w:pPr>
      <w:r>
        <w:rPr>
          <w:rFonts w:hint="eastAsia"/>
        </w:rPr>
        <w:t>2</w:t>
      </w:r>
      <w:bookmarkEnd w:id="54"/>
      <w:bookmarkEnd w:id="55"/>
      <w:bookmarkEnd w:id="56"/>
      <w:r>
        <w:rPr>
          <w:rFonts w:hint="eastAsia"/>
        </w:rPr>
        <w:t>6．无效投标条款和废标条款</w:t>
      </w:r>
    </w:p>
    <w:p w14:paraId="2A580807">
      <w:pPr>
        <w:adjustRightInd w:val="0"/>
        <w:snapToGrid w:val="0"/>
        <w:spacing w:line="360" w:lineRule="auto"/>
        <w:ind w:firstLine="480" w:firstLineChars="200"/>
      </w:pPr>
      <w:bookmarkStart w:id="57" w:name="_Toc16938551"/>
      <w:bookmarkStart w:id="58" w:name="_Toc513029235"/>
      <w:bookmarkStart w:id="59" w:name="_Toc20823307"/>
      <w:r>
        <w:rPr>
          <w:rFonts w:hint="eastAsia"/>
          <w:bCs/>
        </w:rPr>
        <w:t>2</w:t>
      </w:r>
      <w:r>
        <w:rPr>
          <w:rFonts w:hint="eastAsia"/>
        </w:rPr>
        <w:t>6.1无效投标条款</w:t>
      </w:r>
    </w:p>
    <w:p w14:paraId="0EE3FADD">
      <w:pPr>
        <w:adjustRightInd w:val="0"/>
        <w:snapToGrid w:val="0"/>
        <w:spacing w:line="360" w:lineRule="auto"/>
        <w:ind w:firstLine="480" w:firstLineChars="200"/>
      </w:pPr>
      <w:r>
        <w:rPr>
          <w:rFonts w:hint="eastAsia"/>
        </w:rPr>
        <w:t>（1）未按照招标文件规定要求密封、签署、盖章的；投标文件未按规定的格式、内容和要求编制</w:t>
      </w:r>
      <w:r>
        <w:rPr>
          <w:rFonts w:hint="eastAsia"/>
          <w:bCs/>
        </w:rPr>
        <w:t>填写</w:t>
      </w:r>
      <w:r>
        <w:rPr>
          <w:rFonts w:hint="eastAsia"/>
        </w:rPr>
        <w:t>、投标文件字迹潦草、模糊、无法辩认的；</w:t>
      </w:r>
    </w:p>
    <w:p w14:paraId="48DA1D01">
      <w:pPr>
        <w:adjustRightInd w:val="0"/>
        <w:snapToGrid w:val="0"/>
        <w:spacing w:line="360" w:lineRule="auto"/>
        <w:ind w:firstLine="480" w:firstLineChars="200"/>
      </w:pPr>
      <w:r>
        <w:rPr>
          <w:rFonts w:hint="eastAsia"/>
        </w:rPr>
        <w:t>（2）在报价时采用选择性报价；</w:t>
      </w:r>
    </w:p>
    <w:p w14:paraId="5AFECC4D">
      <w:pPr>
        <w:adjustRightInd w:val="0"/>
        <w:snapToGrid w:val="0"/>
        <w:spacing w:line="360" w:lineRule="auto"/>
        <w:ind w:firstLine="480" w:firstLineChars="200"/>
      </w:pPr>
      <w:r>
        <w:rPr>
          <w:rFonts w:hint="eastAsia"/>
        </w:rPr>
        <w:t>（3）投标报价超过采购预算（最高限价）的；</w:t>
      </w:r>
    </w:p>
    <w:p w14:paraId="2F55E3E6">
      <w:pPr>
        <w:adjustRightInd w:val="0"/>
        <w:snapToGrid w:val="0"/>
        <w:spacing w:line="360" w:lineRule="auto"/>
        <w:ind w:firstLine="480" w:firstLineChars="200"/>
      </w:pPr>
      <w:r>
        <w:rPr>
          <w:rFonts w:hint="eastAsia"/>
        </w:rPr>
        <w:t>（4）不具备招标文件中规定资格要求的；</w:t>
      </w:r>
    </w:p>
    <w:p w14:paraId="705EA36C">
      <w:pPr>
        <w:adjustRightInd w:val="0"/>
        <w:snapToGrid w:val="0"/>
        <w:spacing w:line="360" w:lineRule="auto"/>
        <w:ind w:firstLine="480" w:firstLineChars="200"/>
      </w:pPr>
      <w:r>
        <w:rPr>
          <w:rFonts w:hint="eastAsia"/>
        </w:rPr>
        <w:t>（5）对招标文件未能作出全面实质性响应或对招标文件进行实质性修改的；</w:t>
      </w:r>
    </w:p>
    <w:p w14:paraId="1034AA35">
      <w:pPr>
        <w:adjustRightInd w:val="0"/>
        <w:snapToGrid w:val="0"/>
        <w:spacing w:line="360" w:lineRule="auto"/>
        <w:ind w:firstLine="480" w:firstLineChars="200"/>
      </w:pPr>
      <w:r>
        <w:rPr>
          <w:rFonts w:hint="eastAsia"/>
        </w:rPr>
        <w:t>（6）不符合法律、法规和招标文件中规定的其他实质性要求的；</w:t>
      </w:r>
    </w:p>
    <w:p w14:paraId="03036EB1">
      <w:pPr>
        <w:adjustRightInd w:val="0"/>
        <w:snapToGrid w:val="0"/>
        <w:spacing w:line="360" w:lineRule="auto"/>
        <w:ind w:firstLine="480" w:firstLineChars="200"/>
      </w:pPr>
      <w:r>
        <w:rPr>
          <w:rFonts w:hint="eastAsia"/>
        </w:rPr>
        <w:t>（7）投标人有欺诈行为或隐瞒自身违规问题的，提供虚假材料的；</w:t>
      </w:r>
    </w:p>
    <w:p w14:paraId="334D2744">
      <w:pPr>
        <w:adjustRightInd w:val="0"/>
        <w:snapToGrid w:val="0"/>
        <w:spacing w:line="360" w:lineRule="auto"/>
        <w:ind w:firstLine="480" w:firstLineChars="200"/>
      </w:pPr>
      <w:r>
        <w:rPr>
          <w:rFonts w:hint="eastAsia"/>
        </w:rPr>
        <w:t>（8）不同投标人委托同一个人办理投标事宜的；不同投标人的投标文件载明的项目管理成员为同一人的；不同投标人的投标文件异常一致的；</w:t>
      </w:r>
    </w:p>
    <w:p w14:paraId="2BA1BD77">
      <w:pPr>
        <w:adjustRightInd w:val="0"/>
        <w:snapToGrid w:val="0"/>
        <w:spacing w:line="360" w:lineRule="auto"/>
        <w:ind w:firstLine="480" w:firstLineChars="200"/>
        <w:rPr>
          <w:lang w:val="zh-CN"/>
        </w:rPr>
      </w:pPr>
      <w:r>
        <w:rPr>
          <w:rFonts w:hint="eastAsia"/>
          <w:lang w:val="zh-CN"/>
        </w:rPr>
        <w:t>（</w:t>
      </w:r>
      <w:r>
        <w:rPr>
          <w:rFonts w:hint="eastAsia"/>
        </w:rPr>
        <w:t>9</w:t>
      </w:r>
      <w:r>
        <w:rPr>
          <w:rFonts w:hint="eastAsia"/>
          <w:lang w:val="zh-CN"/>
        </w:rPr>
        <w:t>）投标人未按照本招标文件要求携带必须提供的相关投标资料的备查原件到投标现场的；</w:t>
      </w:r>
    </w:p>
    <w:p w14:paraId="0C28D3BD">
      <w:pPr>
        <w:adjustRightInd w:val="0"/>
        <w:snapToGrid w:val="0"/>
        <w:spacing w:line="360" w:lineRule="auto"/>
        <w:ind w:firstLine="480" w:firstLineChars="200"/>
        <w:rPr>
          <w:lang w:val="zh-CN"/>
        </w:rPr>
      </w:pPr>
      <w:r>
        <w:rPr>
          <w:rFonts w:hint="eastAsia"/>
          <w:lang w:val="zh-CN"/>
        </w:rPr>
        <w:t>（1</w:t>
      </w:r>
      <w:r>
        <w:rPr>
          <w:rFonts w:hint="eastAsia"/>
        </w:rPr>
        <w:t>0</w:t>
      </w:r>
      <w:r>
        <w:rPr>
          <w:rFonts w:hint="eastAsia"/>
          <w:lang w:val="zh-CN"/>
        </w:rPr>
        <w:t>）超出经营范围投标的；</w:t>
      </w:r>
    </w:p>
    <w:p w14:paraId="6A798B00">
      <w:pPr>
        <w:adjustRightInd w:val="0"/>
        <w:snapToGrid w:val="0"/>
        <w:spacing w:line="360" w:lineRule="auto"/>
        <w:ind w:firstLine="480" w:firstLineChars="200"/>
        <w:rPr>
          <w:lang w:val="zh-CN"/>
        </w:rPr>
      </w:pPr>
      <w:r>
        <w:rPr>
          <w:rFonts w:hint="eastAsia"/>
          <w:lang w:val="zh-CN"/>
        </w:rPr>
        <w:t>（1</w:t>
      </w:r>
      <w:r>
        <w:rPr>
          <w:rFonts w:hint="eastAsia"/>
        </w:rPr>
        <w:t>1</w:t>
      </w:r>
      <w:r>
        <w:rPr>
          <w:rFonts w:hint="eastAsia"/>
          <w:lang w:val="zh-CN"/>
        </w:rPr>
        <w:t>）投标有效期不符合招标文件规定期限的；</w:t>
      </w:r>
    </w:p>
    <w:p w14:paraId="3B30F6A0">
      <w:pPr>
        <w:adjustRightInd w:val="0"/>
        <w:snapToGrid w:val="0"/>
        <w:spacing w:line="360" w:lineRule="auto"/>
        <w:ind w:firstLine="480" w:firstLineChars="200"/>
        <w:rPr>
          <w:lang w:val="zh-CN"/>
        </w:rPr>
      </w:pPr>
      <w:r>
        <w:rPr>
          <w:rFonts w:hint="eastAsia"/>
          <w:lang w:val="zh-CN"/>
        </w:rPr>
        <w:t>（1</w:t>
      </w:r>
      <w:r>
        <w:rPr>
          <w:rFonts w:hint="eastAsia"/>
        </w:rPr>
        <w:t>2</w:t>
      </w:r>
      <w:r>
        <w:rPr>
          <w:rFonts w:hint="eastAsia"/>
          <w:lang w:val="zh-CN"/>
        </w:rPr>
        <w:t>）其他法律、法规及本招标文件规定的属无效投标的情形。</w:t>
      </w:r>
    </w:p>
    <w:p w14:paraId="111CAA99">
      <w:pPr>
        <w:adjustRightInd w:val="0"/>
        <w:snapToGrid w:val="0"/>
        <w:spacing w:line="360" w:lineRule="auto"/>
        <w:ind w:firstLine="480" w:firstLineChars="200"/>
        <w:rPr>
          <w:lang w:val="zh-CN"/>
        </w:rPr>
      </w:pPr>
      <w:r>
        <w:rPr>
          <w:rFonts w:hint="eastAsia"/>
          <w:lang w:val="zh-CN"/>
        </w:rPr>
        <w:t>（1</w:t>
      </w:r>
      <w:r>
        <w:rPr>
          <w:rFonts w:hint="eastAsia"/>
        </w:rPr>
        <w:t>3</w:t>
      </w:r>
      <w:r>
        <w:rPr>
          <w:rFonts w:hint="eastAsia"/>
          <w:lang w:val="zh-CN"/>
        </w:rPr>
        <w:t>）投标人被“信用中国”网站（www.creditchina.gov.cn）列入失信被执行人或重大税收违法案件当事人名单或政府采购严重失信行为记录名单。</w:t>
      </w:r>
    </w:p>
    <w:p w14:paraId="06EEE27E">
      <w:pPr>
        <w:adjustRightInd w:val="0"/>
        <w:snapToGrid w:val="0"/>
        <w:spacing w:line="360" w:lineRule="auto"/>
        <w:ind w:firstLine="480" w:firstLineChars="200"/>
      </w:pPr>
      <w:r>
        <w:rPr>
          <w:rFonts w:hint="eastAsia"/>
        </w:rPr>
        <w:t>26.2废标条款：</w:t>
      </w:r>
    </w:p>
    <w:p w14:paraId="5564E186">
      <w:pPr>
        <w:adjustRightInd w:val="0"/>
        <w:snapToGrid w:val="0"/>
        <w:spacing w:line="360" w:lineRule="auto"/>
        <w:ind w:firstLine="480" w:firstLineChars="200"/>
      </w:pPr>
      <w:r>
        <w:rPr>
          <w:rFonts w:hint="eastAsia"/>
        </w:rPr>
        <w:t>（1）符合专业条件的供应商或者对招标文件作实质响应的供应商不足三家的；</w:t>
      </w:r>
    </w:p>
    <w:p w14:paraId="5B09C3D9">
      <w:pPr>
        <w:adjustRightInd w:val="0"/>
        <w:snapToGrid w:val="0"/>
        <w:spacing w:line="360" w:lineRule="auto"/>
        <w:ind w:firstLine="480" w:firstLineChars="200"/>
      </w:pPr>
      <w:r>
        <w:rPr>
          <w:rFonts w:hint="eastAsia"/>
        </w:rPr>
        <w:t>（2）出现影响采购公正的违法、违规行为的；</w:t>
      </w:r>
    </w:p>
    <w:p w14:paraId="0FBE7202">
      <w:pPr>
        <w:adjustRightInd w:val="0"/>
        <w:snapToGrid w:val="0"/>
        <w:spacing w:line="360" w:lineRule="auto"/>
        <w:ind w:firstLine="480" w:firstLineChars="200"/>
      </w:pPr>
      <w:r>
        <w:rPr>
          <w:rFonts w:hint="eastAsia"/>
        </w:rPr>
        <w:t>（3）投标人的报价均超过了采购预算（最高限价）的；</w:t>
      </w:r>
    </w:p>
    <w:p w14:paraId="4F4BB905">
      <w:pPr>
        <w:adjustRightInd w:val="0"/>
        <w:snapToGrid w:val="0"/>
        <w:spacing w:line="360" w:lineRule="auto"/>
        <w:ind w:firstLine="480" w:firstLineChars="200"/>
      </w:pPr>
      <w:r>
        <w:rPr>
          <w:rFonts w:hint="eastAsia"/>
        </w:rPr>
        <w:t>（4）因重大变故，采购任务取消的；</w:t>
      </w:r>
    </w:p>
    <w:p w14:paraId="3CE74BC6">
      <w:pPr>
        <w:pStyle w:val="2"/>
        <w:adjustRightInd w:val="0"/>
        <w:snapToGrid w:val="0"/>
        <w:spacing w:after="0" w:line="360" w:lineRule="auto"/>
        <w:ind w:left="0" w:leftChars="0" w:firstLine="480"/>
      </w:pPr>
      <w:r>
        <w:rPr>
          <w:rFonts w:hint="eastAsia"/>
        </w:rPr>
        <w:t>（5）因系统故障原因造成开评标无法继续进行的。</w:t>
      </w:r>
    </w:p>
    <w:p w14:paraId="79413412">
      <w:pPr>
        <w:adjustRightInd w:val="0"/>
        <w:snapToGrid w:val="0"/>
        <w:spacing w:line="360" w:lineRule="auto"/>
        <w:ind w:firstLine="480" w:firstLineChars="200"/>
      </w:pPr>
      <w:r>
        <w:rPr>
          <w:rFonts w:hint="eastAsia"/>
        </w:rPr>
        <w:t>26.3投标截止时间结束后参加投标的供应商不足三家的处理：</w:t>
      </w:r>
    </w:p>
    <w:p w14:paraId="76ED890D">
      <w:pPr>
        <w:adjustRightInd w:val="0"/>
        <w:snapToGrid w:val="0"/>
        <w:spacing w:line="360" w:lineRule="auto"/>
        <w:ind w:firstLine="480" w:firstLineChars="200"/>
        <w:rPr>
          <w:b/>
          <w:lang w:val="zh-CN"/>
        </w:rPr>
      </w:pPr>
      <w:r>
        <w:rPr>
          <w:rFonts w:hint="eastAsia"/>
        </w:rPr>
        <w:t>如出现投标截止时间结束后参加投标的供应商或者在评标期间对招标文件做出实质响应的供应商不足三家情况，</w:t>
      </w:r>
      <w:bookmarkStart w:id="60" w:name="_Toc120614219"/>
      <w:bookmarkStart w:id="61" w:name="_Toc335123866"/>
      <w:r>
        <w:rPr>
          <w:rFonts w:hint="eastAsia"/>
          <w:bCs/>
        </w:rPr>
        <w:t>按政府采购相关规定执行</w:t>
      </w:r>
      <w:r>
        <w:rPr>
          <w:rFonts w:hint="eastAsia"/>
        </w:rPr>
        <w:t>。</w:t>
      </w:r>
    </w:p>
    <w:p w14:paraId="3B388114">
      <w:pPr>
        <w:adjustRightInd w:val="0"/>
        <w:snapToGrid w:val="0"/>
        <w:spacing w:line="360" w:lineRule="auto"/>
        <w:ind w:firstLine="480" w:firstLineChars="200"/>
      </w:pPr>
      <w:r>
        <w:rPr>
          <w:rFonts w:hint="eastAsia"/>
        </w:rPr>
        <w:t>六、</w:t>
      </w:r>
      <w:bookmarkEnd w:id="57"/>
      <w:bookmarkEnd w:id="58"/>
      <w:bookmarkEnd w:id="59"/>
      <w:r>
        <w:rPr>
          <w:rFonts w:hint="eastAsia"/>
        </w:rPr>
        <w:t>定标</w:t>
      </w:r>
      <w:bookmarkEnd w:id="60"/>
      <w:bookmarkEnd w:id="61"/>
    </w:p>
    <w:p w14:paraId="0ABBA18F">
      <w:pPr>
        <w:adjustRightInd w:val="0"/>
        <w:snapToGrid w:val="0"/>
        <w:spacing w:line="360" w:lineRule="auto"/>
        <w:ind w:firstLine="480" w:firstLineChars="200"/>
      </w:pPr>
      <w:bookmarkStart w:id="62" w:name="_Toc513029238"/>
      <w:bookmarkStart w:id="63" w:name="_Toc20823310"/>
      <w:bookmarkStart w:id="64" w:name="_Toc16938554"/>
      <w:r>
        <w:rPr>
          <w:rFonts w:hint="eastAsia"/>
        </w:rPr>
        <w:t>2</w:t>
      </w:r>
      <w:bookmarkEnd w:id="62"/>
      <w:r>
        <w:rPr>
          <w:rFonts w:hint="eastAsia"/>
        </w:rPr>
        <w:t>7．确定</w:t>
      </w:r>
      <w:bookmarkEnd w:id="63"/>
      <w:bookmarkEnd w:id="64"/>
      <w:r>
        <w:rPr>
          <w:rFonts w:hint="eastAsia"/>
        </w:rPr>
        <w:t>中标单位</w:t>
      </w:r>
    </w:p>
    <w:p w14:paraId="5EAFAA77">
      <w:pPr>
        <w:adjustRightInd w:val="0"/>
        <w:snapToGrid w:val="0"/>
        <w:spacing w:line="360" w:lineRule="auto"/>
        <w:ind w:firstLine="480" w:firstLineChars="200"/>
      </w:pPr>
      <w:r>
        <w:rPr>
          <w:rFonts w:hint="eastAsia"/>
        </w:rPr>
        <w:t>27.1中标候选人的选取原则和数量见招标文件第四部分规定。</w:t>
      </w:r>
    </w:p>
    <w:p w14:paraId="3AE38E5B">
      <w:pPr>
        <w:adjustRightInd w:val="0"/>
        <w:snapToGrid w:val="0"/>
        <w:spacing w:line="360" w:lineRule="auto"/>
        <w:ind w:firstLine="480" w:firstLineChars="200"/>
      </w:pPr>
      <w:r>
        <w:rPr>
          <w:rFonts w:hint="eastAsia"/>
        </w:rPr>
        <w:t>27.2招标人委托评标委员会直接确定排名第一的供应商为中标人</w:t>
      </w:r>
      <w:r>
        <w:rPr>
          <w:rFonts w:hint="eastAsia"/>
          <w:lang w:val="zh-CN"/>
        </w:rPr>
        <w:t>。</w:t>
      </w:r>
    </w:p>
    <w:p w14:paraId="118FFE13">
      <w:pPr>
        <w:adjustRightInd w:val="0"/>
        <w:snapToGrid w:val="0"/>
        <w:spacing w:line="360" w:lineRule="auto"/>
        <w:ind w:firstLine="480" w:firstLineChars="200"/>
      </w:pPr>
      <w:r>
        <w:rPr>
          <w:rFonts w:hint="eastAsia"/>
          <w:bCs/>
        </w:rPr>
        <w:t>27.3评审结束后，中标</w:t>
      </w:r>
      <w:r>
        <w:rPr>
          <w:rFonts w:hint="eastAsia"/>
        </w:rPr>
        <w:t>人名单将在“如东县限额交易网”进行公示，公示时间为1个工作日。</w:t>
      </w:r>
    </w:p>
    <w:p w14:paraId="062195F2">
      <w:pPr>
        <w:adjustRightInd w:val="0"/>
        <w:snapToGrid w:val="0"/>
        <w:spacing w:line="360" w:lineRule="auto"/>
        <w:ind w:firstLine="480" w:firstLineChars="200"/>
      </w:pPr>
      <w:r>
        <w:rPr>
          <w:rFonts w:hint="eastAsia"/>
        </w:rPr>
        <w:t>27.4若有充分证据证明，中标人出现下列情况之一的，一经查实，将被取消中标资格：</w:t>
      </w:r>
    </w:p>
    <w:p w14:paraId="746EED84">
      <w:pPr>
        <w:adjustRightInd w:val="0"/>
        <w:snapToGrid w:val="0"/>
        <w:spacing w:line="360" w:lineRule="auto"/>
        <w:ind w:firstLine="480" w:firstLineChars="200"/>
      </w:pPr>
      <w:r>
        <w:rPr>
          <w:rFonts w:hint="eastAsia"/>
        </w:rPr>
        <w:t>（1）提供虚假材料谋取中标的；</w:t>
      </w:r>
    </w:p>
    <w:p w14:paraId="0D1F83FE">
      <w:pPr>
        <w:adjustRightInd w:val="0"/>
        <w:snapToGrid w:val="0"/>
        <w:spacing w:line="360" w:lineRule="auto"/>
        <w:ind w:firstLine="480" w:firstLineChars="200"/>
      </w:pPr>
      <w:r>
        <w:rPr>
          <w:rFonts w:hint="eastAsia"/>
        </w:rPr>
        <w:t>（2）与评审专家、招标人、其他供应商或者招标人工作人员恶意串通的；</w:t>
      </w:r>
    </w:p>
    <w:p w14:paraId="678A13FA">
      <w:pPr>
        <w:adjustRightInd w:val="0"/>
        <w:snapToGrid w:val="0"/>
        <w:spacing w:line="360" w:lineRule="auto"/>
        <w:ind w:firstLine="480" w:firstLineChars="200"/>
      </w:pPr>
      <w:r>
        <w:rPr>
          <w:rFonts w:hint="eastAsia"/>
        </w:rPr>
        <w:t>（3）向评审专家、招标人或招标人工作人员行贿或者提供其他不正当利益的；</w:t>
      </w:r>
    </w:p>
    <w:p w14:paraId="26149639">
      <w:pPr>
        <w:adjustRightInd w:val="0"/>
        <w:snapToGrid w:val="0"/>
        <w:spacing w:line="360" w:lineRule="auto"/>
        <w:ind w:firstLine="480" w:firstLineChars="200"/>
      </w:pPr>
      <w:r>
        <w:rPr>
          <w:rFonts w:hint="eastAsia"/>
        </w:rPr>
        <w:t>（4）恶意竞争，投标总报价明显低于其自身合理成本且又无法提供证明的；</w:t>
      </w:r>
    </w:p>
    <w:p w14:paraId="1AAEA5A2">
      <w:pPr>
        <w:adjustRightInd w:val="0"/>
        <w:snapToGrid w:val="0"/>
        <w:spacing w:line="360" w:lineRule="auto"/>
        <w:ind w:firstLine="480" w:firstLineChars="200"/>
      </w:pPr>
      <w:r>
        <w:rPr>
          <w:rFonts w:hint="eastAsia"/>
        </w:rPr>
        <w:t>（5）不满足本招标文件规定的实质性要求，但在评标过程中又未被评委会发现的；</w:t>
      </w:r>
    </w:p>
    <w:p w14:paraId="06585F36">
      <w:pPr>
        <w:adjustRightInd w:val="0"/>
        <w:snapToGrid w:val="0"/>
        <w:spacing w:line="360" w:lineRule="auto"/>
        <w:ind w:firstLine="480" w:firstLineChars="200"/>
      </w:pPr>
      <w:r>
        <w:rPr>
          <w:rFonts w:hint="eastAsia"/>
        </w:rPr>
        <w:t>（6）不符合法律、法规的规定的其他情形。</w:t>
      </w:r>
      <w:bookmarkStart w:id="65" w:name="_Toc200451960"/>
    </w:p>
    <w:p w14:paraId="4B664CEC">
      <w:pPr>
        <w:adjustRightInd w:val="0"/>
        <w:snapToGrid w:val="0"/>
        <w:spacing w:line="360" w:lineRule="auto"/>
        <w:ind w:firstLine="480" w:firstLineChars="200"/>
      </w:pPr>
      <w:r>
        <w:rPr>
          <w:rFonts w:hint="eastAsia"/>
        </w:rPr>
        <w:t>在此情况下一经认定，报经政府采购监督管理部门批准，招标人有权重新组织采购。</w:t>
      </w:r>
    </w:p>
    <w:p w14:paraId="4E50417F">
      <w:pPr>
        <w:adjustRightInd w:val="0"/>
        <w:snapToGrid w:val="0"/>
        <w:spacing w:line="360" w:lineRule="auto"/>
        <w:ind w:firstLine="480" w:firstLineChars="200"/>
        <w:rPr>
          <w:kern w:val="0"/>
        </w:rPr>
      </w:pPr>
      <w:r>
        <w:rPr>
          <w:rFonts w:hint="eastAsia"/>
        </w:rPr>
        <w:t>27.5</w:t>
      </w:r>
      <w:r>
        <w:rPr>
          <w:rFonts w:hint="eastAsia"/>
          <w:kern w:val="0"/>
        </w:rPr>
        <w:t>有下列情形之一的，视为投标供应商串通投标，投标无效：</w:t>
      </w:r>
    </w:p>
    <w:p w14:paraId="0B49C5C2">
      <w:pPr>
        <w:adjustRightInd w:val="0"/>
        <w:snapToGrid w:val="0"/>
        <w:spacing w:line="360" w:lineRule="auto"/>
        <w:ind w:firstLine="480" w:firstLineChars="200"/>
      </w:pPr>
      <w:r>
        <w:rPr>
          <w:rFonts w:hint="eastAsia"/>
        </w:rPr>
        <w:t>（1）不同投标供应商的投标文件由同一单位或者个人编制。</w:t>
      </w:r>
    </w:p>
    <w:p w14:paraId="741F748E">
      <w:pPr>
        <w:adjustRightInd w:val="0"/>
        <w:snapToGrid w:val="0"/>
        <w:spacing w:line="360" w:lineRule="auto"/>
        <w:ind w:firstLine="480" w:firstLineChars="200"/>
      </w:pPr>
      <w:r>
        <w:rPr>
          <w:rFonts w:hint="eastAsia"/>
        </w:rPr>
        <w:t>（2）不同投标供应商委托同一单位或者个人办理投标事宜。</w:t>
      </w:r>
    </w:p>
    <w:p w14:paraId="3A002954">
      <w:pPr>
        <w:adjustRightInd w:val="0"/>
        <w:snapToGrid w:val="0"/>
        <w:spacing w:line="360" w:lineRule="auto"/>
        <w:ind w:firstLine="480" w:firstLineChars="200"/>
      </w:pPr>
      <w:r>
        <w:rPr>
          <w:rFonts w:hint="eastAsia"/>
        </w:rPr>
        <w:t>（3）不同投标供应商的投标文件载明的项目管理成员或者联系人员为同一人。</w:t>
      </w:r>
    </w:p>
    <w:p w14:paraId="655E8BCA">
      <w:pPr>
        <w:adjustRightInd w:val="0"/>
        <w:snapToGrid w:val="0"/>
        <w:spacing w:line="360" w:lineRule="auto"/>
        <w:ind w:firstLine="480" w:firstLineChars="200"/>
      </w:pPr>
      <w:r>
        <w:rPr>
          <w:rFonts w:hint="eastAsia"/>
        </w:rPr>
        <w:t>（4）不同投标供应商的投标文件异常一致或者投标报价呈规律性差异。</w:t>
      </w:r>
    </w:p>
    <w:p w14:paraId="5F6D13A8">
      <w:pPr>
        <w:adjustRightInd w:val="0"/>
        <w:snapToGrid w:val="0"/>
        <w:spacing w:line="360" w:lineRule="auto"/>
        <w:ind w:firstLine="480" w:firstLineChars="200"/>
      </w:pPr>
      <w:r>
        <w:rPr>
          <w:rFonts w:hint="eastAsia"/>
        </w:rPr>
        <w:t>（6）不同投标供应商的投标文件相互混装。</w:t>
      </w:r>
    </w:p>
    <w:p w14:paraId="6C6D8850">
      <w:pPr>
        <w:adjustRightInd w:val="0"/>
        <w:snapToGrid w:val="0"/>
        <w:spacing w:line="360" w:lineRule="auto"/>
        <w:ind w:firstLine="480" w:firstLineChars="200"/>
        <w:rPr>
          <w:kern w:val="0"/>
        </w:rPr>
      </w:pPr>
      <w:r>
        <w:rPr>
          <w:rFonts w:hint="eastAsia"/>
          <w:kern w:val="0"/>
        </w:rPr>
        <w:t>28.质疑处理</w:t>
      </w:r>
    </w:p>
    <w:p w14:paraId="7C14B21F">
      <w:pPr>
        <w:adjustRightInd w:val="0"/>
        <w:snapToGrid w:val="0"/>
        <w:spacing w:line="360" w:lineRule="auto"/>
        <w:ind w:firstLine="480" w:firstLineChars="200"/>
        <w:rPr>
          <w:kern w:val="0"/>
        </w:rPr>
      </w:pPr>
      <w:r>
        <w:rPr>
          <w:rFonts w:hint="eastAsia"/>
          <w:kern w:val="0"/>
        </w:rPr>
        <w:t>28.1投标人认为招标文件、招标过程和招标结果使自己的权益受到损害的，可以在知道或应知其权益受到损害之日起七个工作日内，以书面形式向招标人提出质疑。上述应知其权益受到损害之日，是指：</w:t>
      </w:r>
    </w:p>
    <w:p w14:paraId="15069347">
      <w:pPr>
        <w:adjustRightInd w:val="0"/>
        <w:snapToGrid w:val="0"/>
        <w:spacing w:line="360" w:lineRule="auto"/>
        <w:ind w:firstLine="480" w:firstLineChars="200"/>
        <w:rPr>
          <w:kern w:val="0"/>
        </w:rPr>
      </w:pPr>
      <w:r>
        <w:rPr>
          <w:rFonts w:hint="eastAsia"/>
          <w:kern w:val="0"/>
        </w:rPr>
        <w:t>（1）对可以质疑的招标文件提出质疑的，为收到招标文件之日或者招标文件公告期限届满之日；</w:t>
      </w:r>
    </w:p>
    <w:p w14:paraId="1ED014E1">
      <w:pPr>
        <w:adjustRightInd w:val="0"/>
        <w:snapToGrid w:val="0"/>
        <w:spacing w:line="360" w:lineRule="auto"/>
        <w:ind w:firstLine="480" w:firstLineChars="200"/>
        <w:rPr>
          <w:kern w:val="0"/>
        </w:rPr>
      </w:pPr>
      <w:r>
        <w:rPr>
          <w:rFonts w:hint="eastAsia"/>
          <w:kern w:val="0"/>
        </w:rPr>
        <w:t>（2）对招标过程提出质疑的，为各招标程序环节结束之日；</w:t>
      </w:r>
    </w:p>
    <w:p w14:paraId="1E6BA2A9">
      <w:pPr>
        <w:adjustRightInd w:val="0"/>
        <w:snapToGrid w:val="0"/>
        <w:spacing w:line="360" w:lineRule="auto"/>
        <w:ind w:firstLine="480" w:firstLineChars="200"/>
        <w:rPr>
          <w:kern w:val="0"/>
        </w:rPr>
      </w:pPr>
      <w:r>
        <w:rPr>
          <w:rFonts w:hint="eastAsia"/>
          <w:kern w:val="0"/>
        </w:rPr>
        <w:t>（3）对成交结果提出质疑的，为成交结果公告期限届满之日。</w:t>
      </w:r>
    </w:p>
    <w:p w14:paraId="29251F2C">
      <w:pPr>
        <w:adjustRightInd w:val="0"/>
        <w:snapToGrid w:val="0"/>
        <w:spacing w:line="360" w:lineRule="auto"/>
        <w:ind w:firstLine="480" w:firstLineChars="200"/>
        <w:rPr>
          <w:rFonts w:eastAsia="方正仿宋_GBK"/>
          <w:kern w:val="0"/>
          <w:sz w:val="28"/>
          <w:szCs w:val="28"/>
        </w:rPr>
      </w:pPr>
      <w:r>
        <w:rPr>
          <w:rFonts w:hint="eastAsia"/>
          <w:kern w:val="0"/>
        </w:rPr>
        <w:t>供应商应当在法定质疑期内一次性提出针对同一采购程序环节的质疑。</w:t>
      </w:r>
    </w:p>
    <w:p w14:paraId="7CCD2281">
      <w:pPr>
        <w:adjustRightInd w:val="0"/>
        <w:snapToGrid w:val="0"/>
        <w:spacing w:line="360" w:lineRule="auto"/>
        <w:ind w:firstLine="480" w:firstLineChars="200"/>
        <w:rPr>
          <w:kern w:val="0"/>
        </w:rPr>
      </w:pPr>
      <w:r>
        <w:rPr>
          <w:rFonts w:hint="eastAsia"/>
          <w:kern w:val="0"/>
        </w:rPr>
        <w:t>28.2质疑必须按《政府采购法》、《政府采购法实施条例》及《江苏省政府采购供应商监督管理暂行办法》的相关规定提交，未按上述要求提交的质疑函（含传真、电子邮件等）招标人有权不予受理。</w:t>
      </w:r>
    </w:p>
    <w:p w14:paraId="2C5E84A2">
      <w:pPr>
        <w:adjustRightInd w:val="0"/>
        <w:snapToGrid w:val="0"/>
        <w:spacing w:line="360" w:lineRule="auto"/>
        <w:ind w:firstLine="480" w:firstLineChars="200"/>
        <w:rPr>
          <w:kern w:val="0"/>
        </w:rPr>
      </w:pPr>
      <w:r>
        <w:rPr>
          <w:rFonts w:hint="eastAsia"/>
          <w:kern w:val="0"/>
        </w:rPr>
        <w:t>28.3未参加采购活动的供应商或在采购活动中自身权益未受到损害的供应商所提出的质疑不予受理。</w:t>
      </w:r>
    </w:p>
    <w:p w14:paraId="5B5EC568">
      <w:pPr>
        <w:adjustRightInd w:val="0"/>
        <w:snapToGrid w:val="0"/>
        <w:spacing w:line="360" w:lineRule="auto"/>
        <w:ind w:firstLine="480" w:firstLineChars="200"/>
        <w:rPr>
          <w:kern w:val="0"/>
        </w:rPr>
      </w:pPr>
      <w:r>
        <w:rPr>
          <w:rFonts w:hint="eastAsia"/>
          <w:kern w:val="0"/>
        </w:rPr>
        <w:t>28.4质疑函应当包括下列内容：</w:t>
      </w:r>
    </w:p>
    <w:p w14:paraId="69A79CED">
      <w:pPr>
        <w:adjustRightInd w:val="0"/>
        <w:snapToGrid w:val="0"/>
        <w:spacing w:line="360" w:lineRule="auto"/>
        <w:ind w:firstLine="480" w:firstLineChars="200"/>
        <w:rPr>
          <w:kern w:val="0"/>
        </w:rPr>
      </w:pPr>
      <w:r>
        <w:rPr>
          <w:rFonts w:hint="eastAsia"/>
          <w:kern w:val="0"/>
        </w:rPr>
        <w:t>（1）质疑供应商的名称、地址、邮编、联系人、联系电话；</w:t>
      </w:r>
    </w:p>
    <w:p w14:paraId="7414F37E">
      <w:pPr>
        <w:adjustRightInd w:val="0"/>
        <w:snapToGrid w:val="0"/>
        <w:spacing w:line="360" w:lineRule="auto"/>
        <w:ind w:firstLine="480" w:firstLineChars="200"/>
        <w:rPr>
          <w:kern w:val="0"/>
        </w:rPr>
      </w:pPr>
      <w:r>
        <w:rPr>
          <w:rFonts w:hint="eastAsia"/>
          <w:kern w:val="0"/>
        </w:rPr>
        <w:t>（2）具体的质疑事项及明确的请求；</w:t>
      </w:r>
    </w:p>
    <w:p w14:paraId="6BBAE488">
      <w:pPr>
        <w:adjustRightInd w:val="0"/>
        <w:snapToGrid w:val="0"/>
        <w:spacing w:line="360" w:lineRule="auto"/>
        <w:ind w:firstLine="480" w:firstLineChars="200"/>
        <w:rPr>
          <w:kern w:val="0"/>
        </w:rPr>
      </w:pPr>
      <w:r>
        <w:rPr>
          <w:rFonts w:hint="eastAsia"/>
          <w:kern w:val="0"/>
        </w:rPr>
        <w:t>（3）认为自己合法权益受到损害或可能受到损害的相关证据材料；</w:t>
      </w:r>
    </w:p>
    <w:p w14:paraId="4ADB5519">
      <w:pPr>
        <w:adjustRightInd w:val="0"/>
        <w:snapToGrid w:val="0"/>
        <w:spacing w:line="360" w:lineRule="auto"/>
        <w:ind w:firstLine="480" w:firstLineChars="200"/>
        <w:rPr>
          <w:kern w:val="0"/>
        </w:rPr>
      </w:pPr>
      <w:r>
        <w:rPr>
          <w:rFonts w:hint="eastAsia"/>
          <w:kern w:val="0"/>
        </w:rPr>
        <w:t>（4）提起质疑的日期；</w:t>
      </w:r>
    </w:p>
    <w:p w14:paraId="72DAF048">
      <w:pPr>
        <w:adjustRightInd w:val="0"/>
        <w:snapToGrid w:val="0"/>
        <w:spacing w:line="360" w:lineRule="auto"/>
        <w:ind w:firstLine="480" w:firstLineChars="200"/>
        <w:rPr>
          <w:kern w:val="0"/>
        </w:rPr>
      </w:pPr>
      <w:r>
        <w:rPr>
          <w:rFonts w:hint="eastAsia"/>
          <w:kern w:val="0"/>
        </w:rPr>
        <w:t>（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招标人将不予受理。质疑人委托代理质疑的，应当向招标人提交授权委托书，并载明委托代理的具体权限和事项。</w:t>
      </w:r>
    </w:p>
    <w:p w14:paraId="1474BE41">
      <w:pPr>
        <w:adjustRightInd w:val="0"/>
        <w:snapToGrid w:val="0"/>
        <w:spacing w:line="360" w:lineRule="auto"/>
        <w:ind w:firstLine="480" w:firstLineChars="200"/>
        <w:rPr>
          <w:kern w:val="0"/>
        </w:rPr>
      </w:pPr>
      <w:r>
        <w:rPr>
          <w:rFonts w:hint="eastAsia"/>
          <w:kern w:val="0"/>
        </w:rPr>
        <w:t>28.5招标人收到质疑函后，将对质疑的形式和内容进行审查，如质疑函内容、格式不符合规定，招标人将告知质疑人进行补正。</w:t>
      </w:r>
    </w:p>
    <w:p w14:paraId="79909A64">
      <w:pPr>
        <w:adjustRightInd w:val="0"/>
        <w:snapToGrid w:val="0"/>
        <w:spacing w:line="360" w:lineRule="auto"/>
        <w:ind w:firstLine="480" w:firstLineChars="200"/>
        <w:rPr>
          <w:kern w:val="0"/>
        </w:rPr>
      </w:pPr>
      <w:r>
        <w:rPr>
          <w:rFonts w:hint="eastAsia"/>
          <w:kern w:val="0"/>
        </w:rPr>
        <w:t>28.6质疑人应当在法定质疑期限内进行补正并重新提交质疑函，拒不补正或者在法定期限内未重新提交质疑函的，为无效质疑，招标人将不予受理。</w:t>
      </w:r>
    </w:p>
    <w:p w14:paraId="1FD1E1B0">
      <w:pPr>
        <w:adjustRightInd w:val="0"/>
        <w:snapToGrid w:val="0"/>
        <w:spacing w:line="360" w:lineRule="auto"/>
        <w:ind w:firstLine="480" w:firstLineChars="200"/>
        <w:rPr>
          <w:kern w:val="0"/>
        </w:rPr>
      </w:pPr>
      <w:r>
        <w:rPr>
          <w:rFonts w:hint="eastAsia"/>
          <w:kern w:val="0"/>
        </w:rPr>
        <w:t>28.7对于内容、格式符合规定的质疑函，招标人将在收到参加投标人的书面质疑后七个工作日内作出答复，并以书面形式通知质疑供应商和其他相关供应商，答复的内容不涉及商业秘密。</w:t>
      </w:r>
    </w:p>
    <w:p w14:paraId="1AA5374E">
      <w:pPr>
        <w:adjustRightInd w:val="0"/>
        <w:snapToGrid w:val="0"/>
        <w:spacing w:line="360" w:lineRule="auto"/>
        <w:ind w:firstLine="480" w:firstLineChars="200"/>
        <w:rPr>
          <w:kern w:val="0"/>
        </w:rPr>
      </w:pPr>
      <w:r>
        <w:rPr>
          <w:rFonts w:hint="eastAsia"/>
        </w:rPr>
        <w:t>28.8供应商提出书面质疑必须有理、有据，不得恶意质疑或提交虚假质疑。否则，</w:t>
      </w:r>
      <w:r>
        <w:rPr>
          <w:rFonts w:hint="eastAsia"/>
          <w:kern w:val="0"/>
        </w:rPr>
        <w:t>一经查实，招标人有权依据政府采购的有关规定，报请政府采购监管部门对该供应商进行相应的行政处罚。</w:t>
      </w:r>
    </w:p>
    <w:bookmarkEnd w:id="65"/>
    <w:p w14:paraId="548D3D1F">
      <w:pPr>
        <w:adjustRightInd w:val="0"/>
        <w:snapToGrid w:val="0"/>
        <w:spacing w:line="360" w:lineRule="auto"/>
        <w:ind w:firstLine="480" w:firstLineChars="200"/>
      </w:pPr>
      <w:r>
        <w:rPr>
          <w:rFonts w:hint="eastAsia"/>
        </w:rPr>
        <w:t>29.中标通知书</w:t>
      </w:r>
    </w:p>
    <w:p w14:paraId="65198BA5">
      <w:pPr>
        <w:adjustRightInd w:val="0"/>
        <w:snapToGrid w:val="0"/>
        <w:spacing w:line="360" w:lineRule="auto"/>
        <w:ind w:firstLine="480" w:firstLineChars="200"/>
      </w:pPr>
      <w:r>
        <w:rPr>
          <w:rFonts w:hint="eastAsia"/>
        </w:rPr>
        <w:t>29.l中标结果确定后，招标人将向中标供应商发出中标通知书。</w:t>
      </w:r>
    </w:p>
    <w:p w14:paraId="0E9212E4">
      <w:pPr>
        <w:adjustRightInd w:val="0"/>
        <w:snapToGrid w:val="0"/>
        <w:spacing w:line="360" w:lineRule="auto"/>
        <w:ind w:firstLine="480" w:firstLineChars="200"/>
      </w:pPr>
      <w:r>
        <w:rPr>
          <w:rFonts w:hint="eastAsia"/>
        </w:rPr>
        <w:t>29.2中标通知书将是合同的一个组成部分。对招标人和中标供应商均具有法律效力。中标通知书发出后，招标人改变中标结果的，或者中标供应商放弃中标项目的，应当依法承担法律责任。</w:t>
      </w:r>
      <w:bookmarkStart w:id="66" w:name="_Toc120614220"/>
      <w:bookmarkStart w:id="67" w:name="_Toc20823308"/>
      <w:bookmarkStart w:id="68" w:name="_Toc513029236"/>
      <w:bookmarkStart w:id="69" w:name="_Toc16938552"/>
    </w:p>
    <w:p w14:paraId="220FAC7A">
      <w:pPr>
        <w:adjustRightInd w:val="0"/>
        <w:snapToGrid w:val="0"/>
        <w:spacing w:line="360" w:lineRule="auto"/>
        <w:ind w:firstLine="480" w:firstLineChars="200"/>
      </w:pPr>
      <w:r>
        <w:rPr>
          <w:rFonts w:hint="eastAsia"/>
        </w:rPr>
        <w:t>七、授予合同</w:t>
      </w:r>
      <w:bookmarkEnd w:id="66"/>
    </w:p>
    <w:bookmarkEnd w:id="67"/>
    <w:bookmarkEnd w:id="68"/>
    <w:bookmarkEnd w:id="69"/>
    <w:p w14:paraId="204E1A7B">
      <w:pPr>
        <w:adjustRightInd w:val="0"/>
        <w:snapToGrid w:val="0"/>
        <w:spacing w:line="360" w:lineRule="auto"/>
        <w:ind w:firstLine="480" w:firstLineChars="200"/>
      </w:pPr>
      <w:r>
        <w:rPr>
          <w:rFonts w:hint="eastAsia"/>
        </w:rPr>
        <w:t>30．签订合同</w:t>
      </w:r>
    </w:p>
    <w:p w14:paraId="7619EBDA">
      <w:pPr>
        <w:adjustRightInd w:val="0"/>
        <w:snapToGrid w:val="0"/>
        <w:spacing w:line="360" w:lineRule="auto"/>
        <w:ind w:firstLine="480" w:firstLineChars="200"/>
      </w:pPr>
      <w:r>
        <w:rPr>
          <w:rFonts w:hint="eastAsia"/>
        </w:rPr>
        <w:t>30.l中标人必须按中标通知书规定的时间、地点,按照招标文件确定的事项签订政府采购合同，且不得迟于中标通知书发出之日起十五日内，由此给招标人造成损失的，中标人还应承担赔偿责任。</w:t>
      </w:r>
    </w:p>
    <w:p w14:paraId="30D9607E">
      <w:pPr>
        <w:adjustRightInd w:val="0"/>
        <w:snapToGrid w:val="0"/>
        <w:spacing w:line="360" w:lineRule="auto"/>
        <w:ind w:firstLine="480" w:firstLineChars="200"/>
      </w:pPr>
      <w:r>
        <w:rPr>
          <w:rFonts w:hint="eastAsia"/>
        </w:rPr>
        <w:t>30.2 招标文件、中标人的投标文件及招标过程中有关澄清、承诺文件均应作为合同附件。</w:t>
      </w:r>
    </w:p>
    <w:p w14:paraId="13659277">
      <w:pPr>
        <w:adjustRightInd w:val="0"/>
        <w:snapToGrid w:val="0"/>
        <w:spacing w:line="360" w:lineRule="auto"/>
        <w:ind w:firstLine="480" w:firstLineChars="200"/>
      </w:pPr>
      <w:r>
        <w:rPr>
          <w:rFonts w:hint="eastAsia"/>
        </w:rPr>
        <w:t>30.3在合同签订之前，招标人有权对中标单位的履约能力进行最后审查，审查方式包括询问、调查和实地考察，如发现中标单位提供的材料虚假或对标书所要求说明的情况故意隐瞒或虚报，则招标招标人有权取消其签约资格，并在标书有效期内另行评定中标者，或重新招标。</w:t>
      </w:r>
    </w:p>
    <w:p w14:paraId="1F5ED240">
      <w:pPr>
        <w:adjustRightInd w:val="0"/>
        <w:snapToGrid w:val="0"/>
        <w:spacing w:line="360" w:lineRule="auto"/>
        <w:ind w:firstLine="480" w:firstLineChars="200"/>
      </w:pPr>
      <w:r>
        <w:rPr>
          <w:rFonts w:hint="eastAsia"/>
        </w:rPr>
        <w:t>30.4签订合同后，中标人不得将货物及其他相关服务进行转包。未经招标人同意，中标人也不得随意采用分包的形式履行合同，否则招标人有权终止合同，中标人的履约保证金将不予退还。转包或分包造成招标人损失的，中标人应承担相应赔偿责任。</w:t>
      </w:r>
    </w:p>
    <w:p w14:paraId="14DD7D77">
      <w:pPr>
        <w:adjustRightInd w:val="0"/>
        <w:snapToGrid w:val="0"/>
        <w:spacing w:line="360" w:lineRule="auto"/>
        <w:ind w:firstLine="480" w:firstLineChars="200"/>
      </w:pPr>
      <w:r>
        <w:rPr>
          <w:rFonts w:hint="eastAsia"/>
        </w:rPr>
        <w:t>31．货物和服务的追加、调减</w:t>
      </w:r>
    </w:p>
    <w:p w14:paraId="7B8584D0">
      <w:pPr>
        <w:adjustRightInd w:val="0"/>
        <w:snapToGrid w:val="0"/>
        <w:spacing w:line="360" w:lineRule="auto"/>
        <w:ind w:firstLine="480" w:firstLineChars="200"/>
      </w:pPr>
      <w:r>
        <w:rPr>
          <w:rFonts w:hint="eastAsia"/>
        </w:rPr>
        <w:t>31.1政府采购合同履行中，采购人需追加与合同标的相同的货物和服务的，在不改变合同其他条款的前提下，可以与中标人协商签订补充合同，但所有补充合同的采购金额不超过原合同金额10%。</w:t>
      </w:r>
    </w:p>
    <w:p w14:paraId="6C8519FC">
      <w:pPr>
        <w:adjustRightInd w:val="0"/>
        <w:snapToGrid w:val="0"/>
        <w:spacing w:line="360" w:lineRule="auto"/>
        <w:ind w:firstLine="480" w:firstLineChars="200"/>
      </w:pPr>
      <w:r>
        <w:rPr>
          <w:rFonts w:hint="eastAsia"/>
        </w:rPr>
        <w:t>31.2采购结束后，招标人若由于各种客观原因，必须对采购项目所牵涉的货物和服务进行适当的减少时，在双方协商一致的前提下，可以按照招标采购时的价格水平做相应的调减，并据此签订补充合同。</w:t>
      </w:r>
    </w:p>
    <w:p w14:paraId="75381F0E">
      <w:pPr>
        <w:adjustRightInd w:val="0"/>
        <w:snapToGrid w:val="0"/>
        <w:spacing w:line="360" w:lineRule="auto"/>
        <w:ind w:firstLine="480" w:firstLineChars="200"/>
      </w:pPr>
      <w:r>
        <w:rPr>
          <w:rFonts w:hint="eastAsia"/>
        </w:rPr>
        <w:t>31.3项目结束后，招标人若由于各种客观原因，必须对采购项目所牵涉的货物和服务进行适当的添购时，由于须保证原有采购项目一致性或者服务配套的要求，必须符合《政府采购法》的规定并经相关部门批准，可以继续从中标人处按照单一来源采购的方式进行添购，且所牵涉的货物和服务的价格水平不得超过本次公开招标的水平且低于当时的社会平均价。货物和服务的添购，应在本次政府采购合同的基础上，另行签订货物和服务的添购合同。</w:t>
      </w:r>
    </w:p>
    <w:p w14:paraId="4D10282B">
      <w:pPr>
        <w:adjustRightInd w:val="0"/>
        <w:snapToGrid w:val="0"/>
        <w:spacing w:line="360" w:lineRule="auto"/>
        <w:ind w:firstLine="480" w:firstLineChars="200"/>
      </w:pPr>
      <w:r>
        <w:rPr>
          <w:rFonts w:hint="eastAsia"/>
        </w:rPr>
        <w:t>32．履约保证金</w:t>
      </w:r>
    </w:p>
    <w:p w14:paraId="573B7765">
      <w:pPr>
        <w:adjustRightInd w:val="0"/>
        <w:snapToGrid w:val="0"/>
        <w:spacing w:line="360" w:lineRule="auto"/>
        <w:ind w:firstLine="482" w:firstLineChars="200"/>
      </w:pPr>
      <w:r>
        <w:rPr>
          <w:rFonts w:hint="eastAsia"/>
          <w:b/>
        </w:rPr>
        <w:t>32.1本项目履约保证金为壹万元。</w:t>
      </w:r>
      <w:r>
        <w:rPr>
          <w:rFonts w:hint="eastAsia"/>
        </w:rPr>
        <w:t>允许成交供应商自主选择以支票、汇票、本票、保函等非现金形式缴纳或提交履约保证金，在中标公示结束后7日内缴纳。履约保证金用以约束供应商在合同履行中的行为，弥补合同执行中由于自身行为可能给采购人带来的各种损失。如果中标人不同意按照规定去做，采购人有权取消本次采购中标决定，并没收其投标保证金。在此情况下，报请政府采购监管部门，采购人可重新采购。</w:t>
      </w:r>
    </w:p>
    <w:p w14:paraId="0347E319">
      <w:pPr>
        <w:adjustRightInd w:val="0"/>
        <w:snapToGrid w:val="0"/>
        <w:spacing w:line="360" w:lineRule="auto"/>
        <w:ind w:firstLine="480" w:firstLineChars="200"/>
      </w:pPr>
      <w:r>
        <w:rPr>
          <w:rFonts w:hint="eastAsia"/>
        </w:rPr>
        <w:t>32.2履约保证金的退还：需要交纳履约保证金的项目在全部服务结束后，中标人凭采购人签署的同意退还履约保证金的证明（证明格式自定,加盖采购人公章）、履约保证金收条原件等相关材料，办理保证金退还手续，履约保证金予以全额无息退还。</w:t>
      </w:r>
    </w:p>
    <w:p w14:paraId="21A373C9">
      <w:pPr>
        <w:adjustRightInd w:val="0"/>
        <w:snapToGrid w:val="0"/>
        <w:spacing w:line="360" w:lineRule="auto"/>
        <w:ind w:firstLine="480" w:firstLineChars="200"/>
      </w:pPr>
      <w:r>
        <w:rPr>
          <w:rFonts w:hint="eastAsia"/>
        </w:rPr>
        <w:t>八、其他说明</w:t>
      </w:r>
    </w:p>
    <w:p w14:paraId="6B0007E1">
      <w:pPr>
        <w:adjustRightInd w:val="0"/>
        <w:snapToGrid w:val="0"/>
        <w:spacing w:line="360" w:lineRule="auto"/>
        <w:ind w:firstLine="480" w:firstLineChars="200"/>
      </w:pPr>
      <w:r>
        <w:rPr>
          <w:rFonts w:hint="eastAsia"/>
        </w:rPr>
        <w:t>投标人如对本招标文件中的采购需求（包括详细方案、技术参数、技术需求和服务要求、供应商资格条件、评标方法与评标标准等）有疑问或不明之处，可与采购人联系。采购人对采购项目的采购需求有解释权。在招标过程中如出现投标人针对本项目采购需求提出质疑、疑问，由采购人负责并按规定进行答复。采购人：如东县洋口镇中心卫生院；采购人联系人：桑建银；电话：13951326708</w:t>
      </w:r>
    </w:p>
    <w:p w14:paraId="5E391000">
      <w:pPr>
        <w:pStyle w:val="39"/>
        <w:rPr>
          <w:rFonts w:ascii="宋体" w:hAnsi="宋体" w:cs="宋体"/>
          <w:color w:val="auto"/>
        </w:rPr>
      </w:pPr>
    </w:p>
    <w:p w14:paraId="353E766F">
      <w:pPr>
        <w:pStyle w:val="54"/>
        <w:adjustRightInd w:val="0"/>
        <w:snapToGrid w:val="0"/>
        <w:spacing w:afterLines="0" w:line="520" w:lineRule="exact"/>
        <w:rPr>
          <w:rFonts w:ascii="宋体" w:hAnsi="宋体" w:eastAsia="宋体" w:cs="宋体"/>
        </w:rPr>
      </w:pPr>
    </w:p>
    <w:p w14:paraId="1C5DB59B"/>
    <w:p w14:paraId="6408B118">
      <w:pPr>
        <w:pStyle w:val="2"/>
        <w:ind w:left="480" w:firstLine="480"/>
      </w:pPr>
    </w:p>
    <w:p w14:paraId="687EF6F9"/>
    <w:p w14:paraId="1D11CB41"/>
    <w:p w14:paraId="181C0A9F">
      <w:pPr>
        <w:pStyle w:val="11"/>
      </w:pPr>
    </w:p>
    <w:p w14:paraId="0DC5F14C"/>
    <w:p w14:paraId="6BAB1F36">
      <w:pPr>
        <w:pStyle w:val="2"/>
        <w:ind w:left="480" w:firstLine="480"/>
      </w:pPr>
    </w:p>
    <w:p w14:paraId="3B2F8B0C"/>
    <w:p w14:paraId="529A6540">
      <w:pPr>
        <w:pStyle w:val="54"/>
        <w:adjustRightInd w:val="0"/>
        <w:snapToGrid w:val="0"/>
        <w:spacing w:afterLines="0" w:line="520" w:lineRule="exact"/>
        <w:rPr>
          <w:rFonts w:ascii="宋体" w:hAnsi="宋体" w:eastAsia="宋体" w:cs="宋体"/>
          <w:szCs w:val="24"/>
        </w:rPr>
      </w:pPr>
      <w:r>
        <w:rPr>
          <w:rFonts w:hint="eastAsia" w:ascii="宋体" w:hAnsi="宋体" w:eastAsia="宋体" w:cs="宋体"/>
        </w:rPr>
        <w:t>第三章    项目需求</w:t>
      </w:r>
    </w:p>
    <w:p w14:paraId="43C12FEA">
      <w:pPr>
        <w:adjustRightInd w:val="0"/>
        <w:snapToGrid w:val="0"/>
        <w:spacing w:line="360" w:lineRule="auto"/>
        <w:ind w:firstLine="480" w:firstLineChars="200"/>
      </w:pPr>
      <w:r>
        <w:rPr>
          <w:rFonts w:hint="eastAsia"/>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C4C42F6">
      <w:pPr>
        <w:adjustRightInd w:val="0"/>
        <w:snapToGrid w:val="0"/>
        <w:spacing w:line="360" w:lineRule="auto"/>
        <w:ind w:firstLine="480" w:firstLineChars="200"/>
      </w:pPr>
      <w:r>
        <w:rPr>
          <w:rFonts w:hint="eastAsia"/>
        </w:rPr>
        <w:t>投标人不能简单照搬照抄招标文件项目需求说明中的技术、商务要求，必须作实事求是的响应。如投标人提供的货物和服务同采购人提出的项目需求说明中的技术、商务要求不同的，必须在《商务部分正负偏离表》和《技术部分正负偏离表》上明示。</w:t>
      </w:r>
    </w:p>
    <w:p w14:paraId="6E73E1BD">
      <w:pPr>
        <w:adjustRightInd w:val="0"/>
        <w:snapToGrid w:val="0"/>
        <w:spacing w:line="360" w:lineRule="auto"/>
        <w:ind w:firstLine="480" w:firstLineChars="200"/>
      </w:pPr>
      <w:r>
        <w:rPr>
          <w:rFonts w:hint="eastAsia"/>
        </w:rPr>
        <w:t>一、技术参数及要求：</w:t>
      </w:r>
    </w:p>
    <w:p w14:paraId="4E710C94">
      <w:pPr>
        <w:adjustRightInd w:val="0"/>
        <w:snapToGrid w:val="0"/>
        <w:spacing w:line="360" w:lineRule="auto"/>
      </w:pPr>
      <w:r>
        <w:rPr>
          <w:rFonts w:hint="eastAsia"/>
        </w:rPr>
        <w:t>1、功能要求：</w:t>
      </w:r>
    </w:p>
    <w:p w14:paraId="13B99717">
      <w:pPr>
        <w:adjustRightInd w:val="0"/>
        <w:snapToGrid w:val="0"/>
        <w:spacing w:line="360" w:lineRule="auto"/>
      </w:pPr>
      <w:r>
        <w:rPr>
          <w:rFonts w:hint="eastAsia"/>
        </w:rPr>
        <w:t>眼科显微镜</w:t>
      </w:r>
      <w:r>
        <w:t>技术要求</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98"/>
      </w:tblGrid>
      <w:tr w14:paraId="089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01" w:type="dxa"/>
            <w:noWrap/>
            <w:vAlign w:val="center"/>
          </w:tcPr>
          <w:p w14:paraId="7066DA2F">
            <w:pPr>
              <w:rPr>
                <w:bCs/>
              </w:rPr>
            </w:pPr>
            <w:r>
              <w:rPr>
                <w:rFonts w:hint="eastAsia"/>
                <w:bCs/>
              </w:rPr>
              <w:t>序号</w:t>
            </w:r>
          </w:p>
        </w:tc>
        <w:tc>
          <w:tcPr>
            <w:tcW w:w="8198" w:type="dxa"/>
            <w:noWrap/>
            <w:vAlign w:val="center"/>
          </w:tcPr>
          <w:p w14:paraId="1A28E94F">
            <w:pPr>
              <w:jc w:val="center"/>
              <w:rPr>
                <w:bCs/>
              </w:rPr>
            </w:pPr>
            <w:r>
              <w:rPr>
                <w:rFonts w:hint="eastAsia"/>
                <w:bCs/>
              </w:rPr>
              <w:t>手术显微镜</w:t>
            </w:r>
          </w:p>
        </w:tc>
      </w:tr>
      <w:tr w14:paraId="7AA6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01" w:type="dxa"/>
            <w:noWrap/>
            <w:vAlign w:val="center"/>
          </w:tcPr>
          <w:p w14:paraId="2809FB1C">
            <w:pPr>
              <w:rPr>
                <w:bCs/>
              </w:rPr>
            </w:pPr>
            <w:r>
              <w:rPr>
                <w:rFonts w:hint="eastAsia"/>
                <w:bCs/>
              </w:rPr>
              <w:t>一</w:t>
            </w:r>
          </w:p>
        </w:tc>
        <w:tc>
          <w:tcPr>
            <w:tcW w:w="8198" w:type="dxa"/>
            <w:noWrap/>
            <w:vAlign w:val="center"/>
          </w:tcPr>
          <w:p w14:paraId="33C200B9">
            <w:pPr>
              <w:rPr>
                <w:bCs/>
              </w:rPr>
            </w:pPr>
            <w:r>
              <w:rPr>
                <w:rFonts w:hint="eastAsia"/>
                <w:bCs/>
              </w:rPr>
              <w:t xml:space="preserve">产地：国产         数量： 1 台     </w:t>
            </w:r>
          </w:p>
        </w:tc>
      </w:tr>
      <w:tr w14:paraId="6686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01" w:type="dxa"/>
            <w:noWrap/>
            <w:vAlign w:val="center"/>
          </w:tcPr>
          <w:p w14:paraId="631C9F85">
            <w:pPr>
              <w:rPr>
                <w:bCs/>
              </w:rPr>
            </w:pPr>
            <w:r>
              <w:rPr>
                <w:rFonts w:hint="eastAsia"/>
                <w:bCs/>
              </w:rPr>
              <w:t>二</w:t>
            </w:r>
          </w:p>
        </w:tc>
        <w:tc>
          <w:tcPr>
            <w:tcW w:w="8198" w:type="dxa"/>
            <w:noWrap/>
            <w:vAlign w:val="center"/>
          </w:tcPr>
          <w:p w14:paraId="478AA20D">
            <w:pPr>
              <w:rPr>
                <w:bCs/>
              </w:rPr>
            </w:pPr>
            <w:r>
              <w:rPr>
                <w:rFonts w:hint="eastAsia"/>
                <w:bCs/>
              </w:rPr>
              <w:t>功能要求</w:t>
            </w:r>
          </w:p>
        </w:tc>
      </w:tr>
      <w:tr w14:paraId="18EA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noWrap/>
            <w:vAlign w:val="center"/>
          </w:tcPr>
          <w:p w14:paraId="1CAE437D">
            <w:pPr>
              <w:rPr>
                <w:bCs/>
              </w:rPr>
            </w:pPr>
            <w:r>
              <w:rPr>
                <w:rFonts w:hint="eastAsia"/>
                <w:bCs/>
              </w:rPr>
              <w:t>2.1</w:t>
            </w:r>
          </w:p>
        </w:tc>
        <w:tc>
          <w:tcPr>
            <w:tcW w:w="8198" w:type="dxa"/>
            <w:noWrap/>
            <w:vAlign w:val="center"/>
          </w:tcPr>
          <w:p w14:paraId="70B74D82">
            <w:pPr>
              <w:rPr>
                <w:bCs/>
              </w:rPr>
            </w:pPr>
            <w:r>
              <w:rPr>
                <w:rFonts w:hint="eastAsia"/>
                <w:bCs/>
              </w:rPr>
              <w:t>适用于眼科手术中照明和放大。</w:t>
            </w:r>
          </w:p>
        </w:tc>
      </w:tr>
      <w:tr w14:paraId="33FE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1" w:type="dxa"/>
            <w:noWrap/>
            <w:vAlign w:val="center"/>
          </w:tcPr>
          <w:p w14:paraId="12B3115E">
            <w:pPr>
              <w:rPr>
                <w:bCs/>
              </w:rPr>
            </w:pPr>
            <w:r>
              <w:rPr>
                <w:rFonts w:hint="eastAsia"/>
                <w:bCs/>
              </w:rPr>
              <w:t>三</w:t>
            </w:r>
          </w:p>
        </w:tc>
        <w:tc>
          <w:tcPr>
            <w:tcW w:w="8198" w:type="dxa"/>
            <w:noWrap/>
            <w:vAlign w:val="center"/>
          </w:tcPr>
          <w:p w14:paraId="49DC456C">
            <w:pPr>
              <w:rPr>
                <w:bCs/>
              </w:rPr>
            </w:pPr>
            <w:r>
              <w:rPr>
                <w:rFonts w:hint="eastAsia"/>
                <w:bCs/>
              </w:rPr>
              <w:t>技术要求</w:t>
            </w:r>
          </w:p>
        </w:tc>
      </w:tr>
      <w:tr w14:paraId="6AB8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097EA8BA">
            <w:pPr>
              <w:ind w:firstLine="240" w:firstLineChars="100"/>
              <w:rPr>
                <w:bCs/>
              </w:rPr>
            </w:pPr>
            <w:r>
              <w:rPr>
                <w:rFonts w:hint="eastAsia"/>
                <w:bCs/>
              </w:rPr>
              <w:t>3.1</w:t>
            </w:r>
          </w:p>
        </w:tc>
        <w:tc>
          <w:tcPr>
            <w:tcW w:w="8198" w:type="dxa"/>
            <w:noWrap/>
            <w:vAlign w:val="center"/>
          </w:tcPr>
          <w:p w14:paraId="409241E7">
            <w:pPr>
              <w:rPr>
                <w:bCs/>
              </w:rPr>
            </w:pPr>
            <w:r>
              <w:rPr>
                <w:rFonts w:hint="eastAsia" w:cs="宋体" w:asciiTheme="minorEastAsia" w:hAnsiTheme="minorEastAsia" w:eastAsiaTheme="minorEastAsia"/>
                <w:b/>
                <w:color w:val="000000"/>
                <w:kern w:val="0"/>
                <w:szCs w:val="21"/>
              </w:rPr>
              <w:t>镜体</w:t>
            </w:r>
          </w:p>
        </w:tc>
      </w:tr>
      <w:tr w14:paraId="6869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01" w:type="dxa"/>
            <w:noWrap/>
            <w:vAlign w:val="center"/>
          </w:tcPr>
          <w:p w14:paraId="7B1803CF">
            <w:pPr>
              <w:rPr>
                <w:bCs/>
              </w:rPr>
            </w:pPr>
            <w:r>
              <w:rPr>
                <w:rFonts w:hint="eastAsia"/>
                <w:b/>
                <w:bCs/>
              </w:rPr>
              <w:t>★</w:t>
            </w:r>
            <w:r>
              <w:rPr>
                <w:rFonts w:hint="eastAsia"/>
                <w:bCs/>
              </w:rPr>
              <w:t>3.1.1</w:t>
            </w:r>
          </w:p>
        </w:tc>
        <w:tc>
          <w:tcPr>
            <w:tcW w:w="8198" w:type="dxa"/>
            <w:noWrap/>
            <w:vAlign w:val="center"/>
          </w:tcPr>
          <w:p w14:paraId="37FA372C">
            <w:pPr>
              <w:rPr>
                <w:bCs/>
                <w:color w:val="FF0000"/>
              </w:rPr>
            </w:pPr>
            <w:r>
              <w:rPr>
                <w:rFonts w:hint="eastAsia" w:cs="宋体" w:asciiTheme="minorEastAsia" w:hAnsiTheme="minorEastAsia" w:eastAsiaTheme="minorEastAsia"/>
                <w:color w:val="000000"/>
                <w:kern w:val="0"/>
                <w:szCs w:val="21"/>
              </w:rPr>
              <w:t>光学系统：全部复消色差光学系统（含物镜、变倍和放大系统）</w:t>
            </w:r>
          </w:p>
        </w:tc>
      </w:tr>
      <w:tr w14:paraId="7BE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01" w:type="dxa"/>
            <w:noWrap/>
            <w:vAlign w:val="center"/>
          </w:tcPr>
          <w:p w14:paraId="735EA904">
            <w:pPr>
              <w:ind w:firstLine="240" w:firstLineChars="100"/>
              <w:rPr>
                <w:b/>
                <w:bCs/>
              </w:rPr>
            </w:pPr>
            <w:r>
              <w:rPr>
                <w:rFonts w:hint="eastAsia"/>
                <w:bCs/>
              </w:rPr>
              <w:t>3.1.2</w:t>
            </w:r>
          </w:p>
        </w:tc>
        <w:tc>
          <w:tcPr>
            <w:tcW w:w="8198" w:type="dxa"/>
            <w:noWrap/>
            <w:vAlign w:val="center"/>
          </w:tcPr>
          <w:p w14:paraId="4BC29F28">
            <w:pPr>
              <w:rPr>
                <w:rFonts w:cs="宋体" w:asciiTheme="minorEastAsia" w:hAnsiTheme="minorEastAsia" w:eastAsiaTheme="minorEastAsia"/>
                <w:color w:val="000000"/>
                <w:kern w:val="0"/>
                <w:szCs w:val="21"/>
              </w:rPr>
            </w:pPr>
            <w:r>
              <w:rPr>
                <w:rFonts w:ascii="宋体" w:cs="宋体"/>
                <w:color w:val="000000"/>
              </w:rPr>
              <w:t>具备T*镀膜技术</w:t>
            </w:r>
          </w:p>
        </w:tc>
      </w:tr>
      <w:tr w14:paraId="0781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1" w:type="dxa"/>
            <w:noWrap/>
            <w:vAlign w:val="center"/>
          </w:tcPr>
          <w:p w14:paraId="7AF862A6">
            <w:pPr>
              <w:ind w:firstLine="235" w:firstLineChars="98"/>
              <w:rPr>
                <w:bCs/>
              </w:rPr>
            </w:pPr>
            <w:r>
              <w:rPr>
                <w:rFonts w:hint="eastAsia"/>
                <w:bCs/>
              </w:rPr>
              <w:t>3.1.3</w:t>
            </w:r>
          </w:p>
        </w:tc>
        <w:tc>
          <w:tcPr>
            <w:tcW w:w="8198" w:type="dxa"/>
            <w:noWrap/>
            <w:vAlign w:val="center"/>
          </w:tcPr>
          <w:p w14:paraId="3E9468A3">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具备电动变倍系统：电动复消色差变倍器</w:t>
            </w:r>
          </w:p>
        </w:tc>
      </w:tr>
      <w:tr w14:paraId="2E0D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3A6ECB81">
            <w:pPr>
              <w:ind w:firstLine="240" w:firstLineChars="100"/>
              <w:rPr>
                <w:bCs/>
              </w:rPr>
            </w:pPr>
            <w:r>
              <w:rPr>
                <w:rFonts w:hint="eastAsia"/>
                <w:bCs/>
              </w:rPr>
              <w:t>3.1.4</w:t>
            </w:r>
          </w:p>
        </w:tc>
        <w:tc>
          <w:tcPr>
            <w:tcW w:w="8198" w:type="dxa"/>
            <w:noWrap/>
            <w:vAlign w:val="center"/>
          </w:tcPr>
          <w:p w14:paraId="586E9B6C">
            <w:pPr>
              <w:rPr>
                <w:bCs/>
                <w:color w:val="FF0000"/>
              </w:rPr>
            </w:pPr>
            <w:r>
              <w:rPr>
                <w:rFonts w:hint="eastAsia" w:cs="宋体" w:asciiTheme="minorEastAsia" w:hAnsiTheme="minorEastAsia" w:eastAsiaTheme="minorEastAsia"/>
                <w:color w:val="000000"/>
                <w:kern w:val="0"/>
                <w:szCs w:val="21"/>
              </w:rPr>
              <w:t>视场直径：8.</w:t>
            </w: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 xml:space="preserve"> - 51.</w:t>
            </w:r>
            <w:r>
              <w:rPr>
                <w:rFonts w:cs="宋体" w:asciiTheme="minorEastAsia" w:hAnsiTheme="minorEastAsia" w:eastAsiaTheme="minorEastAsia"/>
                <w:color w:val="000000"/>
                <w:kern w:val="0"/>
                <w:szCs w:val="21"/>
              </w:rPr>
              <w:t>0</w:t>
            </w:r>
            <w:r>
              <w:rPr>
                <w:rFonts w:hint="eastAsia" w:cs="宋体" w:asciiTheme="minorEastAsia" w:hAnsiTheme="minorEastAsia" w:eastAsiaTheme="minorEastAsia"/>
                <w:color w:val="000000"/>
                <w:kern w:val="0"/>
                <w:szCs w:val="21"/>
              </w:rPr>
              <w:t>mm（目镜12.5X）</w:t>
            </w:r>
          </w:p>
        </w:tc>
      </w:tr>
      <w:tr w14:paraId="2456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noWrap/>
            <w:vAlign w:val="center"/>
          </w:tcPr>
          <w:p w14:paraId="5C10924D">
            <w:pPr>
              <w:ind w:firstLine="240" w:firstLineChars="100"/>
              <w:rPr>
                <w:bCs/>
              </w:rPr>
            </w:pPr>
            <w:r>
              <w:rPr>
                <w:rFonts w:hint="eastAsia"/>
                <w:bCs/>
              </w:rPr>
              <w:t>3.1.5</w:t>
            </w:r>
          </w:p>
        </w:tc>
        <w:tc>
          <w:tcPr>
            <w:tcW w:w="8198" w:type="dxa"/>
            <w:noWrap/>
            <w:vAlign w:val="center"/>
          </w:tcPr>
          <w:p w14:paraId="4CF6235C">
            <w:pPr>
              <w:rPr>
                <w:bCs/>
                <w:color w:val="FF0000"/>
              </w:rPr>
            </w:pPr>
            <w:r>
              <w:rPr>
                <w:rFonts w:hint="eastAsia" w:cs="宋体" w:asciiTheme="minorEastAsia" w:hAnsiTheme="minorEastAsia" w:eastAsiaTheme="minorEastAsia"/>
                <w:color w:val="000000"/>
                <w:kern w:val="0"/>
                <w:szCs w:val="21"/>
              </w:rPr>
              <w:t xml:space="preserve">双目镜筒：45°倾斜镜筒，f </w:t>
            </w:r>
            <w:r>
              <w:rPr>
                <w:rFonts w:hint="eastAsia" w:ascii="宋体"/>
              </w:rPr>
              <w:t>≥</w:t>
            </w:r>
            <w:r>
              <w:rPr>
                <w:rFonts w:hint="eastAsia" w:cs="宋体" w:asciiTheme="minorEastAsia" w:hAnsiTheme="minorEastAsia" w:eastAsiaTheme="minorEastAsia"/>
                <w:color w:val="000000"/>
                <w:kern w:val="0"/>
                <w:szCs w:val="21"/>
              </w:rPr>
              <w:t>170 mm</w:t>
            </w:r>
          </w:p>
        </w:tc>
      </w:tr>
      <w:tr w14:paraId="4FE8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7FBEBFB0">
            <w:pPr>
              <w:ind w:firstLine="240" w:firstLineChars="100"/>
              <w:rPr>
                <w:bCs/>
              </w:rPr>
            </w:pPr>
            <w:r>
              <w:rPr>
                <w:rFonts w:hint="eastAsia"/>
                <w:bCs/>
              </w:rPr>
              <w:t>3.1.6</w:t>
            </w:r>
          </w:p>
        </w:tc>
        <w:tc>
          <w:tcPr>
            <w:tcW w:w="8198" w:type="dxa"/>
            <w:noWrap/>
            <w:vAlign w:val="center"/>
          </w:tcPr>
          <w:p w14:paraId="5268C820">
            <w:pPr>
              <w:rPr>
                <w:bCs/>
              </w:rPr>
            </w:pPr>
            <w:r>
              <w:rPr>
                <w:rFonts w:hint="eastAsia" w:cs="宋体" w:asciiTheme="minorEastAsia" w:hAnsiTheme="minorEastAsia" w:eastAsiaTheme="minorEastAsia"/>
                <w:color w:val="000000"/>
                <w:kern w:val="0"/>
                <w:szCs w:val="21"/>
              </w:rPr>
              <w:t>目镜：12.5ⅹ</w:t>
            </w:r>
          </w:p>
        </w:tc>
      </w:tr>
      <w:tr w14:paraId="41A1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noWrap/>
            <w:vAlign w:val="center"/>
          </w:tcPr>
          <w:p w14:paraId="635A9F8A">
            <w:pPr>
              <w:ind w:firstLine="235" w:firstLineChars="98"/>
              <w:rPr>
                <w:bCs/>
              </w:rPr>
            </w:pPr>
            <w:r>
              <w:rPr>
                <w:rFonts w:hint="eastAsia"/>
                <w:bCs/>
              </w:rPr>
              <w:t>3.1.7</w:t>
            </w:r>
          </w:p>
        </w:tc>
        <w:tc>
          <w:tcPr>
            <w:tcW w:w="8198" w:type="dxa"/>
            <w:noWrap/>
            <w:vAlign w:val="center"/>
          </w:tcPr>
          <w:p w14:paraId="1EDA1BA0">
            <w:pPr>
              <w:rPr>
                <w:bCs/>
                <w:color w:val="FF0000"/>
              </w:rPr>
            </w:pPr>
            <w:r>
              <w:rPr>
                <w:rFonts w:hint="eastAsia" w:cs="宋体" w:asciiTheme="minorEastAsia" w:hAnsiTheme="minorEastAsia" w:eastAsiaTheme="minorEastAsia"/>
                <w:color w:val="000000"/>
                <w:kern w:val="0"/>
                <w:szCs w:val="21"/>
              </w:rPr>
              <w:t>目镜屈光补偿：-</w:t>
            </w:r>
            <w:r>
              <w:rPr>
                <w:rFonts w:cs="宋体" w:asciiTheme="minorEastAsia" w:hAnsiTheme="minorEastAsia" w:eastAsiaTheme="minorEastAsia"/>
                <w:color w:val="000000"/>
                <w:kern w:val="0"/>
                <w:szCs w:val="21"/>
              </w:rPr>
              <w:t>7</w:t>
            </w:r>
            <w:r>
              <w:rPr>
                <w:rFonts w:hint="eastAsia" w:cs="宋体" w:asciiTheme="minorEastAsia" w:hAnsiTheme="minorEastAsia" w:eastAsiaTheme="minorEastAsia"/>
                <w:color w:val="000000"/>
                <w:kern w:val="0"/>
                <w:szCs w:val="21"/>
              </w:rPr>
              <w:t>D到+5D</w:t>
            </w:r>
          </w:p>
        </w:tc>
      </w:tr>
      <w:tr w14:paraId="0F41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01" w:type="dxa"/>
            <w:noWrap/>
            <w:vAlign w:val="center"/>
          </w:tcPr>
          <w:p w14:paraId="0EBB627C">
            <w:pPr>
              <w:ind w:firstLine="240" w:firstLineChars="100"/>
              <w:rPr>
                <w:bCs/>
              </w:rPr>
            </w:pPr>
            <w:r>
              <w:rPr>
                <w:rFonts w:hint="eastAsia"/>
                <w:bCs/>
              </w:rPr>
              <w:t>3.1.8</w:t>
            </w:r>
          </w:p>
        </w:tc>
        <w:tc>
          <w:tcPr>
            <w:tcW w:w="8198" w:type="dxa"/>
            <w:noWrap/>
            <w:vAlign w:val="center"/>
          </w:tcPr>
          <w:p w14:paraId="63C59673">
            <w:pPr>
              <w:rPr>
                <w:bCs/>
                <w:color w:val="FF0000"/>
              </w:rPr>
            </w:pPr>
            <w:r>
              <w:rPr>
                <w:rFonts w:hint="eastAsia" w:cs="宋体" w:asciiTheme="minorEastAsia" w:hAnsiTheme="minorEastAsia" w:eastAsiaTheme="minorEastAsia"/>
                <w:color w:val="000000"/>
                <w:kern w:val="0"/>
                <w:szCs w:val="21"/>
              </w:rPr>
              <w:t>物镜焦距：</w:t>
            </w:r>
            <w:r>
              <w:rPr>
                <w:rFonts w:ascii="宋体" w:cs="宋体"/>
                <w:color w:val="000000"/>
              </w:rPr>
              <w:t>f</w:t>
            </w:r>
            <w:r>
              <w:rPr>
                <w:rFonts w:hint="eastAsia" w:ascii="宋体"/>
              </w:rPr>
              <w:t>≥</w:t>
            </w:r>
            <w:r>
              <w:rPr>
                <w:rFonts w:hint="eastAsia" w:cs="宋体" w:asciiTheme="minorEastAsia" w:hAnsiTheme="minorEastAsia" w:eastAsiaTheme="minorEastAsia"/>
                <w:color w:val="000000"/>
                <w:kern w:val="0"/>
                <w:szCs w:val="21"/>
              </w:rPr>
              <w:t>200mm,复消色差光学</w:t>
            </w:r>
          </w:p>
        </w:tc>
      </w:tr>
      <w:tr w14:paraId="2C56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01" w:type="dxa"/>
            <w:noWrap/>
            <w:vAlign w:val="center"/>
          </w:tcPr>
          <w:p w14:paraId="5F7A335C">
            <w:pPr>
              <w:rPr>
                <w:rFonts w:ascii="宋体" w:cs="宋体"/>
              </w:rPr>
            </w:pPr>
            <w:r>
              <w:rPr>
                <w:rFonts w:hint="eastAsia"/>
                <w:b/>
                <w:bCs/>
              </w:rPr>
              <w:t>▲</w:t>
            </w:r>
            <w:r>
              <w:rPr>
                <w:rFonts w:hint="eastAsia"/>
                <w:bCs/>
              </w:rPr>
              <w:t>3.1.9</w:t>
            </w:r>
          </w:p>
        </w:tc>
        <w:tc>
          <w:tcPr>
            <w:tcW w:w="8198" w:type="dxa"/>
            <w:noWrap/>
            <w:vAlign w:val="center"/>
          </w:tcPr>
          <w:p w14:paraId="52BEF201">
            <w:pPr>
              <w:rPr>
                <w:bCs/>
                <w:color w:val="FF0000"/>
              </w:rPr>
            </w:pPr>
            <w:r>
              <w:rPr>
                <w:rFonts w:hint="eastAsia" w:cs="宋体" w:asciiTheme="minorEastAsia" w:hAnsiTheme="minorEastAsia" w:eastAsiaTheme="minorEastAsia"/>
                <w:color w:val="000000"/>
                <w:kern w:val="0"/>
                <w:szCs w:val="21"/>
              </w:rPr>
              <w:t>调焦方式：电动调焦，范围</w:t>
            </w:r>
            <w:r>
              <w:rPr>
                <w:rFonts w:hint="eastAsia" w:ascii="宋体"/>
              </w:rPr>
              <w:t>≥</w:t>
            </w:r>
            <w:r>
              <w:rPr>
                <w:rFonts w:hint="eastAsia" w:cs="宋体" w:asciiTheme="minorEastAsia" w:hAnsiTheme="minorEastAsia" w:eastAsiaTheme="minorEastAsia"/>
                <w:color w:val="000000"/>
                <w:kern w:val="0"/>
                <w:szCs w:val="21"/>
              </w:rPr>
              <w:t>45mm</w:t>
            </w:r>
          </w:p>
        </w:tc>
      </w:tr>
      <w:tr w14:paraId="5C48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01" w:type="dxa"/>
            <w:noWrap/>
            <w:vAlign w:val="center"/>
          </w:tcPr>
          <w:p w14:paraId="3575BCA6">
            <w:pPr>
              <w:rPr>
                <w:rFonts w:ascii="宋体" w:cs="宋体"/>
              </w:rPr>
            </w:pPr>
            <w:r>
              <w:rPr>
                <w:rFonts w:hint="eastAsia"/>
                <w:b/>
                <w:bCs/>
              </w:rPr>
              <w:t>★</w:t>
            </w:r>
            <w:r>
              <w:rPr>
                <w:rFonts w:hint="eastAsia"/>
                <w:bCs/>
              </w:rPr>
              <w:t>3.1.10</w:t>
            </w:r>
          </w:p>
        </w:tc>
        <w:tc>
          <w:tcPr>
            <w:tcW w:w="8198" w:type="dxa"/>
            <w:noWrap/>
            <w:vAlign w:val="center"/>
          </w:tcPr>
          <w:p w14:paraId="51B04A3A">
            <w:pPr>
              <w:rPr>
                <w:bCs/>
                <w:color w:val="FF0000"/>
              </w:rPr>
            </w:pPr>
            <w:r>
              <w:rPr>
                <w:rFonts w:hint="eastAsia" w:cs="宋体" w:asciiTheme="minorEastAsia" w:hAnsiTheme="minorEastAsia" w:eastAsiaTheme="minorEastAsia"/>
                <w:color w:val="000000"/>
                <w:kern w:val="0"/>
                <w:szCs w:val="21"/>
              </w:rPr>
              <w:t>独立调焦变倍：助手镜系统3档变倍调节，独立调焦助手镜系统</w:t>
            </w:r>
          </w:p>
        </w:tc>
      </w:tr>
      <w:tr w14:paraId="6086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0EE9FCCE">
            <w:pPr>
              <w:ind w:firstLine="240" w:firstLineChars="100"/>
              <w:rPr>
                <w:bCs/>
              </w:rPr>
            </w:pPr>
            <w:r>
              <w:rPr>
                <w:rFonts w:hint="eastAsia"/>
                <w:bCs/>
              </w:rPr>
              <w:t>3.2</w:t>
            </w:r>
          </w:p>
        </w:tc>
        <w:tc>
          <w:tcPr>
            <w:tcW w:w="8198" w:type="dxa"/>
            <w:noWrap/>
            <w:vAlign w:val="center"/>
          </w:tcPr>
          <w:p w14:paraId="73058BB2">
            <w:pPr>
              <w:rPr>
                <w:bCs/>
              </w:rPr>
            </w:pPr>
            <w:r>
              <w:rPr>
                <w:rFonts w:hint="eastAsia" w:cs="宋体" w:asciiTheme="minorEastAsia" w:hAnsiTheme="minorEastAsia" w:eastAsiaTheme="minorEastAsia"/>
                <w:b/>
                <w:color w:val="000000"/>
                <w:kern w:val="0"/>
                <w:szCs w:val="21"/>
              </w:rPr>
              <w:t>XY水平移动系统</w:t>
            </w:r>
          </w:p>
        </w:tc>
      </w:tr>
      <w:tr w14:paraId="6564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1" w:type="dxa"/>
            <w:noWrap/>
            <w:vAlign w:val="center"/>
          </w:tcPr>
          <w:p w14:paraId="27EDF810">
            <w:pPr>
              <w:ind w:firstLine="235" w:firstLineChars="98"/>
              <w:rPr>
                <w:bCs/>
              </w:rPr>
            </w:pPr>
            <w:r>
              <w:rPr>
                <w:rFonts w:hint="eastAsia"/>
                <w:bCs/>
              </w:rPr>
              <w:t>3.2.1</w:t>
            </w:r>
          </w:p>
        </w:tc>
        <w:tc>
          <w:tcPr>
            <w:tcW w:w="8198" w:type="dxa"/>
            <w:noWrap/>
            <w:vAlign w:val="center"/>
          </w:tcPr>
          <w:p w14:paraId="713EAB7D">
            <w:pPr>
              <w:rPr>
                <w:bCs/>
                <w:color w:val="FF0000"/>
              </w:rPr>
            </w:pPr>
            <w:r>
              <w:rPr>
                <w:rFonts w:hint="eastAsia" w:cs="宋体" w:asciiTheme="minorEastAsia" w:hAnsiTheme="minorEastAsia" w:eastAsiaTheme="minorEastAsia"/>
                <w:color w:val="000000"/>
                <w:kern w:val="0"/>
                <w:szCs w:val="21"/>
              </w:rPr>
              <w:t>平移范围：</w:t>
            </w:r>
            <w:r>
              <w:rPr>
                <w:rFonts w:hint="eastAsia" w:ascii="宋体"/>
              </w:rPr>
              <w:t>≥</w:t>
            </w:r>
            <w:r>
              <w:rPr>
                <w:rFonts w:cs="宋体" w:asciiTheme="minorEastAsia" w:hAnsiTheme="minorEastAsia" w:eastAsiaTheme="minorEastAsia"/>
                <w:color w:val="000000"/>
                <w:kern w:val="0"/>
                <w:szCs w:val="21"/>
              </w:rPr>
              <w:t>59</w:t>
            </w:r>
            <w:r>
              <w:rPr>
                <w:rFonts w:hint="eastAsia" w:cs="宋体" w:asciiTheme="minorEastAsia" w:hAnsiTheme="minorEastAsia" w:eastAsiaTheme="minorEastAsia"/>
                <w:color w:val="000000"/>
                <w:kern w:val="0"/>
                <w:szCs w:val="21"/>
              </w:rPr>
              <w:t>mmX</w:t>
            </w:r>
            <w:r>
              <w:rPr>
                <w:rFonts w:cs="宋体" w:asciiTheme="minorEastAsia" w:hAnsiTheme="minorEastAsia" w:eastAsiaTheme="minorEastAsia"/>
                <w:color w:val="000000"/>
                <w:kern w:val="0"/>
                <w:szCs w:val="21"/>
              </w:rPr>
              <w:t>59</w:t>
            </w:r>
            <w:r>
              <w:rPr>
                <w:rFonts w:hint="eastAsia" w:cs="宋体" w:asciiTheme="minorEastAsia" w:hAnsiTheme="minorEastAsia" w:eastAsiaTheme="minorEastAsia"/>
                <w:color w:val="000000"/>
                <w:kern w:val="0"/>
                <w:szCs w:val="21"/>
              </w:rPr>
              <w:t>mm</w:t>
            </w:r>
          </w:p>
        </w:tc>
      </w:tr>
      <w:tr w14:paraId="513A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01" w:type="dxa"/>
            <w:noWrap/>
            <w:vAlign w:val="center"/>
          </w:tcPr>
          <w:p w14:paraId="76B50C51">
            <w:pPr>
              <w:ind w:firstLine="240" w:firstLineChars="100"/>
              <w:rPr>
                <w:rFonts w:ascii="宋体" w:cs="宋体"/>
              </w:rPr>
            </w:pPr>
            <w:r>
              <w:rPr>
                <w:rFonts w:hint="eastAsia"/>
                <w:bCs/>
              </w:rPr>
              <w:t>3.2.2</w:t>
            </w:r>
          </w:p>
        </w:tc>
        <w:tc>
          <w:tcPr>
            <w:tcW w:w="8198" w:type="dxa"/>
            <w:noWrap/>
            <w:vAlign w:val="center"/>
          </w:tcPr>
          <w:p w14:paraId="0787482E">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具有自动复位功能</w:t>
            </w:r>
          </w:p>
        </w:tc>
      </w:tr>
      <w:tr w14:paraId="3B2F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noWrap/>
            <w:vAlign w:val="center"/>
          </w:tcPr>
          <w:p w14:paraId="5F2B85E9">
            <w:pPr>
              <w:ind w:firstLine="240" w:firstLineChars="100"/>
              <w:rPr>
                <w:bCs/>
              </w:rPr>
            </w:pPr>
            <w:r>
              <w:rPr>
                <w:rFonts w:hint="eastAsia"/>
                <w:bCs/>
              </w:rPr>
              <w:t>3.2.3</w:t>
            </w:r>
          </w:p>
        </w:tc>
        <w:tc>
          <w:tcPr>
            <w:tcW w:w="8198" w:type="dxa"/>
            <w:noWrap/>
            <w:vAlign w:val="center"/>
          </w:tcPr>
          <w:p w14:paraId="1C17EBAA">
            <w:pPr>
              <w:rPr>
                <w:bCs/>
              </w:rPr>
            </w:pPr>
            <w:r>
              <w:rPr>
                <w:rFonts w:hint="eastAsia" w:ascii="宋体"/>
              </w:rPr>
              <w:t>显微镜进入待机位置，自动关闭光源。进入工作位置，自动启动照明系统</w:t>
            </w:r>
          </w:p>
        </w:tc>
      </w:tr>
      <w:tr w14:paraId="4D8D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01" w:type="dxa"/>
            <w:noWrap/>
            <w:vAlign w:val="center"/>
          </w:tcPr>
          <w:p w14:paraId="33C27698">
            <w:pPr>
              <w:ind w:firstLine="240" w:firstLineChars="100"/>
              <w:rPr>
                <w:bCs/>
              </w:rPr>
            </w:pPr>
            <w:r>
              <w:rPr>
                <w:rFonts w:hint="eastAsia"/>
                <w:bCs/>
              </w:rPr>
              <w:t>3.3</w:t>
            </w:r>
          </w:p>
        </w:tc>
        <w:tc>
          <w:tcPr>
            <w:tcW w:w="8198" w:type="dxa"/>
            <w:noWrap/>
            <w:vAlign w:val="center"/>
          </w:tcPr>
          <w:p w14:paraId="6C97A7D2">
            <w:pPr>
              <w:rPr>
                <w:bCs/>
              </w:rPr>
            </w:pPr>
            <w:r>
              <w:rPr>
                <w:rFonts w:hint="eastAsia" w:cs="宋体" w:asciiTheme="minorEastAsia" w:hAnsiTheme="minorEastAsia" w:eastAsiaTheme="minorEastAsia"/>
                <w:b/>
                <w:color w:val="000000"/>
                <w:kern w:val="0"/>
                <w:szCs w:val="21"/>
              </w:rPr>
              <w:t>照明系统</w:t>
            </w:r>
          </w:p>
        </w:tc>
      </w:tr>
      <w:tr w14:paraId="0936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01" w:type="dxa"/>
            <w:noWrap/>
            <w:vAlign w:val="center"/>
          </w:tcPr>
          <w:p w14:paraId="2A04E6C8">
            <w:pPr>
              <w:rPr>
                <w:bCs/>
              </w:rPr>
            </w:pPr>
            <w:r>
              <w:rPr>
                <w:rFonts w:hint="eastAsia"/>
                <w:b/>
                <w:bCs/>
              </w:rPr>
              <w:t>▲</w:t>
            </w:r>
            <w:r>
              <w:rPr>
                <w:rFonts w:hint="eastAsia"/>
                <w:bCs/>
              </w:rPr>
              <w:t>3.3.1</w:t>
            </w:r>
          </w:p>
        </w:tc>
        <w:tc>
          <w:tcPr>
            <w:tcW w:w="8198" w:type="dxa"/>
            <w:noWrap/>
            <w:vAlign w:val="center"/>
          </w:tcPr>
          <w:p w14:paraId="43DD3D98">
            <w:pPr>
              <w:rPr>
                <w:bCs/>
              </w:rPr>
            </w:pPr>
            <w:r>
              <w:rPr>
                <w:rFonts w:hint="eastAsia" w:asciiTheme="minorEastAsia" w:hAnsiTheme="minorEastAsia" w:eastAsiaTheme="minorEastAsia"/>
                <w:kern w:val="0"/>
                <w:szCs w:val="21"/>
              </w:rPr>
              <w:t>光源：</w:t>
            </w:r>
            <w:r>
              <w:rPr>
                <w:rFonts w:hint="eastAsia"/>
              </w:rPr>
              <w:t>带热传感器的LED照明光源</w:t>
            </w:r>
          </w:p>
        </w:tc>
      </w:tr>
      <w:tr w14:paraId="346E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101" w:type="dxa"/>
            <w:noWrap/>
            <w:vAlign w:val="center"/>
          </w:tcPr>
          <w:p w14:paraId="76C6733B">
            <w:pPr>
              <w:ind w:firstLine="240" w:firstLineChars="100"/>
              <w:rPr>
                <w:bCs/>
              </w:rPr>
            </w:pPr>
            <w:r>
              <w:rPr>
                <w:rFonts w:hint="eastAsia"/>
                <w:bCs/>
              </w:rPr>
              <w:t>3.3.2</w:t>
            </w:r>
          </w:p>
        </w:tc>
        <w:tc>
          <w:tcPr>
            <w:tcW w:w="8198" w:type="dxa"/>
            <w:noWrap/>
            <w:vAlign w:val="center"/>
          </w:tcPr>
          <w:p w14:paraId="6AEC4669">
            <w:pPr>
              <w:rPr>
                <w:rFonts w:cs="宋体" w:asciiTheme="minorEastAsia" w:hAnsiTheme="minorEastAsia" w:eastAsiaTheme="minorEastAsia"/>
                <w:kern w:val="0"/>
                <w:szCs w:val="21"/>
              </w:rPr>
            </w:pPr>
            <w:r>
              <w:rPr>
                <w:rFonts w:hint="eastAsia"/>
                <w:kern w:val="0"/>
              </w:rPr>
              <w:t>照明方式：</w:t>
            </w:r>
            <w:r>
              <w:rPr>
                <w:rFonts w:hint="eastAsia" w:ascii="宋体"/>
              </w:rPr>
              <w:t>具有2度照明和6度照明</w:t>
            </w:r>
          </w:p>
        </w:tc>
      </w:tr>
      <w:tr w14:paraId="5187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101" w:type="dxa"/>
            <w:noWrap/>
            <w:vAlign w:val="center"/>
          </w:tcPr>
          <w:p w14:paraId="3A548C24">
            <w:pPr>
              <w:ind w:firstLine="240" w:firstLineChars="100"/>
              <w:rPr>
                <w:bCs/>
              </w:rPr>
            </w:pPr>
            <w:r>
              <w:rPr>
                <w:rFonts w:hint="eastAsia"/>
                <w:bCs/>
              </w:rPr>
              <w:t>3.3.3</w:t>
            </w:r>
          </w:p>
        </w:tc>
        <w:tc>
          <w:tcPr>
            <w:tcW w:w="8198" w:type="dxa"/>
            <w:noWrap/>
            <w:vAlign w:val="center"/>
          </w:tcPr>
          <w:p w14:paraId="7D846607">
            <w:pPr>
              <w:rPr>
                <w:bCs/>
                <w:color w:val="FF0000"/>
              </w:rPr>
            </w:pPr>
            <w:r>
              <w:rPr>
                <w:rFonts w:ascii="宋体" w:cs="宋体"/>
                <w:color w:val="000000"/>
              </w:rPr>
              <w:t>色温≥4</w:t>
            </w:r>
            <w:r>
              <w:rPr>
                <w:rFonts w:hint="eastAsia" w:ascii="宋体" w:cs="宋体" w:eastAsiaTheme="minorEastAsia"/>
                <w:color w:val="000000"/>
              </w:rPr>
              <w:t>5</w:t>
            </w:r>
            <w:r>
              <w:rPr>
                <w:rFonts w:ascii="宋体" w:cs="宋体"/>
                <w:color w:val="000000"/>
              </w:rPr>
              <w:t>00K</w:t>
            </w:r>
          </w:p>
        </w:tc>
      </w:tr>
      <w:tr w14:paraId="63A5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0A0FFCB8">
            <w:pPr>
              <w:ind w:firstLine="240" w:firstLineChars="100"/>
              <w:rPr>
                <w:bCs/>
              </w:rPr>
            </w:pPr>
            <w:r>
              <w:rPr>
                <w:rFonts w:hint="eastAsia"/>
                <w:bCs/>
              </w:rPr>
              <w:t>3.3.4</w:t>
            </w:r>
          </w:p>
        </w:tc>
        <w:tc>
          <w:tcPr>
            <w:tcW w:w="8198" w:type="dxa"/>
            <w:noWrap/>
            <w:vAlign w:val="center"/>
          </w:tcPr>
          <w:p w14:paraId="66C2AF56">
            <w:pPr>
              <w:rPr>
                <w:bCs/>
                <w:color w:val="FF0000"/>
              </w:rPr>
            </w:pPr>
            <w:r>
              <w:rPr>
                <w:rFonts w:hint="eastAsia" w:cs="宋体" w:asciiTheme="minorEastAsia" w:hAnsiTheme="minorEastAsia" w:eastAsiaTheme="minorEastAsia"/>
                <w:color w:val="000000"/>
                <w:kern w:val="0"/>
                <w:szCs w:val="21"/>
              </w:rPr>
              <w:t>备用4组LED光源，无需额外备用光源</w:t>
            </w:r>
          </w:p>
        </w:tc>
      </w:tr>
      <w:tr w14:paraId="5C69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7C0059F9">
            <w:pPr>
              <w:ind w:firstLine="240" w:firstLineChars="100"/>
              <w:rPr>
                <w:bCs/>
              </w:rPr>
            </w:pPr>
            <w:r>
              <w:rPr>
                <w:rFonts w:hint="eastAsia"/>
                <w:bCs/>
              </w:rPr>
              <w:t>3.4</w:t>
            </w:r>
          </w:p>
        </w:tc>
        <w:tc>
          <w:tcPr>
            <w:tcW w:w="8198" w:type="dxa"/>
            <w:noWrap/>
            <w:vAlign w:val="center"/>
          </w:tcPr>
          <w:p w14:paraId="1DC3440A">
            <w:pPr>
              <w:rPr>
                <w:bCs/>
              </w:rPr>
            </w:pPr>
            <w:r>
              <w:rPr>
                <w:rFonts w:hint="eastAsia" w:cs="宋体" w:asciiTheme="minorEastAsia" w:hAnsiTheme="minorEastAsia" w:eastAsiaTheme="minorEastAsia"/>
                <w:b/>
                <w:color w:val="000000"/>
                <w:kern w:val="0"/>
                <w:szCs w:val="21"/>
              </w:rPr>
              <w:t>滤光片</w:t>
            </w:r>
          </w:p>
        </w:tc>
      </w:tr>
      <w:tr w14:paraId="7E0B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noWrap/>
            <w:vAlign w:val="center"/>
          </w:tcPr>
          <w:p w14:paraId="38D0D0D8">
            <w:pPr>
              <w:rPr>
                <w:bCs/>
              </w:rPr>
            </w:pPr>
            <w:r>
              <w:rPr>
                <w:rFonts w:hint="eastAsia"/>
                <w:b/>
                <w:bCs/>
              </w:rPr>
              <w:t>★</w:t>
            </w:r>
            <w:r>
              <w:rPr>
                <w:rFonts w:hint="eastAsia"/>
                <w:bCs/>
              </w:rPr>
              <w:t>3.4.1</w:t>
            </w:r>
          </w:p>
        </w:tc>
        <w:tc>
          <w:tcPr>
            <w:tcW w:w="8198" w:type="dxa"/>
            <w:noWrap/>
            <w:vAlign w:val="center"/>
          </w:tcPr>
          <w:p w14:paraId="0C813ED7">
            <w:pPr>
              <w:rPr>
                <w:bCs/>
              </w:rPr>
            </w:pPr>
            <w:r>
              <w:rPr>
                <w:rFonts w:hint="eastAsia" w:cs="宋体" w:asciiTheme="minorEastAsia" w:hAnsiTheme="minorEastAsia" w:eastAsiaTheme="minorEastAsia"/>
                <w:color w:val="000000"/>
                <w:kern w:val="0"/>
                <w:szCs w:val="21"/>
              </w:rPr>
              <w:t>视网膜保护滤光片（蓝光滤波片）；卤素灯-模式滤光片；CRI 滤光片</w:t>
            </w:r>
          </w:p>
        </w:tc>
      </w:tr>
      <w:tr w14:paraId="2A5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01" w:type="dxa"/>
            <w:noWrap/>
            <w:vAlign w:val="center"/>
          </w:tcPr>
          <w:p w14:paraId="0B9255D2">
            <w:pPr>
              <w:ind w:firstLine="240" w:firstLineChars="100"/>
              <w:rPr>
                <w:bCs/>
              </w:rPr>
            </w:pPr>
            <w:r>
              <w:rPr>
                <w:rFonts w:hint="eastAsia"/>
                <w:bCs/>
              </w:rPr>
              <w:t>3.5</w:t>
            </w:r>
          </w:p>
        </w:tc>
        <w:tc>
          <w:tcPr>
            <w:tcW w:w="8198" w:type="dxa"/>
            <w:noWrap/>
            <w:vAlign w:val="center"/>
          </w:tcPr>
          <w:p w14:paraId="0B3310B5">
            <w:pPr>
              <w:rPr>
                <w:bCs/>
              </w:rPr>
            </w:pPr>
            <w:r>
              <w:rPr>
                <w:rFonts w:hint="eastAsia" w:cs="宋体" w:asciiTheme="minorEastAsia" w:hAnsiTheme="minorEastAsia" w:eastAsiaTheme="minorEastAsia"/>
                <w:b/>
                <w:color w:val="000000"/>
                <w:kern w:val="0"/>
                <w:szCs w:val="21"/>
              </w:rPr>
              <w:t>脚踏</w:t>
            </w:r>
          </w:p>
        </w:tc>
      </w:tr>
      <w:tr w14:paraId="2C56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01" w:type="dxa"/>
            <w:noWrap/>
            <w:vAlign w:val="center"/>
          </w:tcPr>
          <w:p w14:paraId="114412AD">
            <w:pPr>
              <w:ind w:firstLine="120" w:firstLineChars="50"/>
              <w:rPr>
                <w:bCs/>
              </w:rPr>
            </w:pPr>
            <w:r>
              <w:rPr>
                <w:rFonts w:hint="eastAsia"/>
                <w:bCs/>
              </w:rPr>
              <w:t>3.5.1</w:t>
            </w:r>
          </w:p>
        </w:tc>
        <w:tc>
          <w:tcPr>
            <w:tcW w:w="8198" w:type="dxa"/>
            <w:noWrap/>
            <w:vAlign w:val="center"/>
          </w:tcPr>
          <w:p w14:paraId="17A49C2D">
            <w:pPr>
              <w:rPr>
                <w:bCs/>
                <w:color w:val="FF0000"/>
              </w:rPr>
            </w:pPr>
            <w:r>
              <w:rPr>
                <w:rFonts w:hint="eastAsia" w:cs="宋体" w:asciiTheme="minorEastAsia" w:hAnsiTheme="minorEastAsia" w:eastAsiaTheme="minorEastAsia"/>
                <w:color w:val="000000"/>
                <w:kern w:val="0"/>
                <w:szCs w:val="21"/>
              </w:rPr>
              <w:t>多功能防水脚踏</w:t>
            </w:r>
          </w:p>
        </w:tc>
      </w:tr>
      <w:tr w14:paraId="1F7C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01" w:type="dxa"/>
            <w:noWrap/>
            <w:vAlign w:val="center"/>
          </w:tcPr>
          <w:p w14:paraId="7FB5641B">
            <w:pPr>
              <w:ind w:firstLine="120" w:firstLineChars="50"/>
              <w:rPr>
                <w:bCs/>
              </w:rPr>
            </w:pPr>
            <w:r>
              <w:rPr>
                <w:rFonts w:hint="eastAsia"/>
                <w:bCs/>
              </w:rPr>
              <w:t>3.5.2</w:t>
            </w:r>
          </w:p>
        </w:tc>
        <w:tc>
          <w:tcPr>
            <w:tcW w:w="8198" w:type="dxa"/>
            <w:noWrap/>
            <w:vAlign w:val="center"/>
          </w:tcPr>
          <w:p w14:paraId="19712DD8">
            <w:pPr>
              <w:rPr>
                <w:rFonts w:cs="宋体" w:asciiTheme="minorEastAsia" w:hAnsiTheme="minorEastAsia" w:eastAsiaTheme="minorEastAsia"/>
                <w:color w:val="000000"/>
                <w:kern w:val="0"/>
                <w:szCs w:val="21"/>
              </w:rPr>
            </w:pPr>
            <w:r>
              <w:rPr>
                <w:rFonts w:ascii="宋体" w:cs="宋体"/>
                <w:color w:val="000000"/>
              </w:rPr>
              <w:t>可控制放大倍数、电动调焦、X-Y平移等</w:t>
            </w:r>
          </w:p>
        </w:tc>
      </w:tr>
      <w:tr w14:paraId="5203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01" w:type="dxa"/>
            <w:noWrap/>
            <w:vAlign w:val="center"/>
          </w:tcPr>
          <w:p w14:paraId="69DC7409">
            <w:pPr>
              <w:ind w:firstLine="240" w:firstLineChars="100"/>
              <w:rPr>
                <w:bCs/>
              </w:rPr>
            </w:pPr>
            <w:r>
              <w:rPr>
                <w:rFonts w:hint="eastAsia"/>
                <w:bCs/>
              </w:rPr>
              <w:t>3.6</w:t>
            </w:r>
          </w:p>
        </w:tc>
        <w:tc>
          <w:tcPr>
            <w:tcW w:w="8198" w:type="dxa"/>
            <w:noWrap/>
            <w:vAlign w:val="center"/>
          </w:tcPr>
          <w:p w14:paraId="60E0B0FA">
            <w:pPr>
              <w:pStyle w:val="2"/>
              <w:ind w:left="0" w:leftChars="0" w:firstLine="0" w:firstLineChars="0"/>
            </w:pPr>
            <w:r>
              <w:rPr>
                <w:rFonts w:hint="eastAsia" w:cs="宋体" w:asciiTheme="minorEastAsia" w:hAnsiTheme="minorEastAsia" w:eastAsiaTheme="minorEastAsia"/>
                <w:b/>
                <w:color w:val="000000"/>
                <w:kern w:val="0"/>
                <w:szCs w:val="21"/>
              </w:rPr>
              <w:t>支架系统</w:t>
            </w:r>
          </w:p>
        </w:tc>
      </w:tr>
      <w:tr w14:paraId="02B0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trPr>
        <w:tc>
          <w:tcPr>
            <w:tcW w:w="1101" w:type="dxa"/>
            <w:noWrap/>
            <w:vAlign w:val="center"/>
          </w:tcPr>
          <w:p w14:paraId="53C1ED42">
            <w:pPr>
              <w:ind w:firstLine="120" w:firstLineChars="50"/>
              <w:rPr>
                <w:bCs/>
              </w:rPr>
            </w:pPr>
            <w:r>
              <w:rPr>
                <w:rFonts w:hint="eastAsia"/>
                <w:bCs/>
              </w:rPr>
              <w:t>3.6.1</w:t>
            </w:r>
          </w:p>
        </w:tc>
        <w:tc>
          <w:tcPr>
            <w:tcW w:w="8198" w:type="dxa"/>
            <w:noWrap/>
            <w:vAlign w:val="center"/>
          </w:tcPr>
          <w:p w14:paraId="4A12631C">
            <w:pP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落地式支架，承重≥9.5Kg</w:t>
            </w:r>
          </w:p>
        </w:tc>
      </w:tr>
      <w:tr w14:paraId="1D40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01" w:type="dxa"/>
            <w:noWrap/>
            <w:vAlign w:val="center"/>
          </w:tcPr>
          <w:p w14:paraId="638EEA71">
            <w:pPr>
              <w:ind w:firstLine="120" w:firstLineChars="50"/>
              <w:rPr>
                <w:bCs/>
              </w:rPr>
            </w:pPr>
            <w:r>
              <w:rPr>
                <w:rFonts w:hint="eastAsia"/>
                <w:bCs/>
              </w:rPr>
              <w:t>3.7</w:t>
            </w:r>
          </w:p>
        </w:tc>
        <w:tc>
          <w:tcPr>
            <w:tcW w:w="8198" w:type="dxa"/>
            <w:noWrap/>
            <w:vAlign w:val="center"/>
          </w:tcPr>
          <w:p w14:paraId="7BDCE2A3">
            <w:pPr>
              <w:rPr>
                <w:rFonts w:cs="宋体" w:asciiTheme="minorEastAsia" w:hAnsiTheme="minorEastAsia" w:eastAsiaTheme="minorEastAsia"/>
                <w:kern w:val="0"/>
                <w:szCs w:val="21"/>
              </w:rPr>
            </w:pPr>
            <w:r>
              <w:rPr>
                <w:rFonts w:hint="eastAsia"/>
                <w:kern w:val="0"/>
              </w:rPr>
              <w:t>其它</w:t>
            </w:r>
          </w:p>
        </w:tc>
      </w:tr>
      <w:tr w14:paraId="571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trPr>
        <w:tc>
          <w:tcPr>
            <w:tcW w:w="1101" w:type="dxa"/>
            <w:noWrap/>
            <w:vAlign w:val="center"/>
          </w:tcPr>
          <w:p w14:paraId="2D54F227">
            <w:pPr>
              <w:ind w:firstLine="120" w:firstLineChars="50"/>
              <w:rPr>
                <w:bCs/>
              </w:rPr>
            </w:pPr>
            <w:r>
              <w:rPr>
                <w:rFonts w:hint="eastAsia"/>
                <w:bCs/>
              </w:rPr>
              <w:t>3.7.1</w:t>
            </w:r>
          </w:p>
        </w:tc>
        <w:tc>
          <w:tcPr>
            <w:tcW w:w="8198" w:type="dxa"/>
            <w:noWrap/>
            <w:vAlign w:val="center"/>
          </w:tcPr>
          <w:p w14:paraId="016BD89A">
            <w:pPr>
              <w:rPr>
                <w:rFonts w:cs="宋体" w:asciiTheme="minorEastAsia" w:hAnsiTheme="minorEastAsia" w:eastAsiaTheme="minorEastAsia"/>
                <w:kern w:val="0"/>
                <w:szCs w:val="21"/>
              </w:rPr>
            </w:pPr>
            <w:r>
              <w:rPr>
                <w:rFonts w:hint="eastAsia"/>
              </w:rPr>
              <w:t>所供设备产品使用寿命：≥8年</w:t>
            </w:r>
          </w:p>
        </w:tc>
      </w:tr>
    </w:tbl>
    <w:p w14:paraId="0D4027B4">
      <w:pPr>
        <w:pStyle w:val="38"/>
        <w:spacing w:line="360" w:lineRule="auto"/>
        <w:ind w:firstLine="480" w:firstLineChars="200"/>
      </w:pPr>
    </w:p>
    <w:p w14:paraId="132396A3">
      <w:pPr>
        <w:spacing w:line="360" w:lineRule="auto"/>
        <w:ind w:firstLine="480" w:firstLineChars="200"/>
      </w:pPr>
      <w:r>
        <w:rPr>
          <w:rFonts w:hint="eastAsia"/>
        </w:rPr>
        <w:t>二、产品质量及售后服务要求</w:t>
      </w:r>
    </w:p>
    <w:p w14:paraId="7477B60B">
      <w:pPr>
        <w:spacing w:line="360" w:lineRule="auto"/>
        <w:ind w:firstLine="480" w:firstLineChars="200"/>
        <w:rPr>
          <w:rStyle w:val="57"/>
          <w:kern w:val="0"/>
          <w:sz w:val="24"/>
        </w:rPr>
      </w:pPr>
      <w:r>
        <w:t>1.</w:t>
      </w:r>
      <w:r>
        <w:rPr>
          <w:rFonts w:hint="eastAsia"/>
        </w:rPr>
        <w:t>所有投标产品必须是原厂生产的、全新设备（包括零部件），完全符合原厂质量检测标准和国家质量检测标准；所有设备必须为全新、未使用过的原装合格正品，包装完好无损，各类证件齐全到采购人指定地点验货，</w:t>
      </w:r>
      <w:r>
        <w:rPr>
          <w:rFonts w:hint="eastAsia" w:cs="宋体"/>
        </w:rPr>
        <w:t>若送货质量或规格要求达不到标准规定，申请单位有权要求供货方予以更换。产品三包期限按行业有关规定执行。</w:t>
      </w:r>
      <w:r>
        <w:rPr>
          <w:rFonts w:hint="eastAsia"/>
        </w:rPr>
        <w:t>凡由于包装不良造成的损失和由此产生的费用均由成交供应商承担。</w:t>
      </w:r>
    </w:p>
    <w:p w14:paraId="538588DA">
      <w:pPr>
        <w:spacing w:line="360" w:lineRule="auto"/>
        <w:ind w:firstLine="480" w:firstLineChars="200"/>
      </w:pPr>
      <w:r>
        <w:rPr>
          <w:rFonts w:hint="eastAsia"/>
        </w:rPr>
        <w:t>2.本项目免费质保3年（具体按投标承诺）,从验收合格交付使用之日起算。在免费质保期内，中标供应商必须对本项目所涉及产品质量原因造成的任何损伤和损坏进行免费修理或更换，修理或更换不得影响招标人正常使用，由此产生的费用由中标供应商负责。</w:t>
      </w:r>
    </w:p>
    <w:p w14:paraId="77C612F9">
      <w:pPr>
        <w:spacing w:line="360" w:lineRule="auto"/>
        <w:ind w:firstLine="480" w:firstLineChars="200"/>
        <w:rPr>
          <w:rFonts w:ascii="宋体"/>
        </w:rPr>
      </w:pPr>
      <w:r>
        <w:rPr>
          <w:rFonts w:hint="eastAsia" w:ascii="宋体"/>
        </w:rPr>
        <w:t>3.</w:t>
      </w:r>
      <w:r>
        <w:rPr>
          <w:rFonts w:hint="eastAsia"/>
        </w:rPr>
        <w:t xml:space="preserve">所供设备生产日期应为交货前3个月内。 </w:t>
      </w:r>
    </w:p>
    <w:p w14:paraId="35929F7C">
      <w:pPr>
        <w:spacing w:line="360" w:lineRule="auto"/>
        <w:ind w:firstLine="480" w:firstLineChars="200"/>
      </w:pPr>
      <w:r>
        <w:rPr>
          <w:rFonts w:hint="eastAsia"/>
        </w:rPr>
        <w:t>三、供货时间及验收标准</w:t>
      </w:r>
    </w:p>
    <w:p w14:paraId="6A8E0EE3">
      <w:pPr>
        <w:spacing w:line="360" w:lineRule="auto"/>
        <w:ind w:firstLine="480" w:firstLineChars="200"/>
      </w:pPr>
      <w:r>
        <w:t>1.</w:t>
      </w:r>
      <w:r>
        <w:rPr>
          <w:rFonts w:hint="eastAsia"/>
        </w:rPr>
        <w:t>供货时间：签订合同后30日历天内供货、安装完毕并保证一次性通过验收。</w:t>
      </w:r>
    </w:p>
    <w:p w14:paraId="3108F9C2">
      <w:pPr>
        <w:spacing w:line="360" w:lineRule="auto"/>
        <w:ind w:firstLine="480" w:firstLineChars="200"/>
      </w:pPr>
      <w:r>
        <w:t>2.</w:t>
      </w:r>
      <w:r>
        <w:rPr>
          <w:rFonts w:hint="eastAsia"/>
        </w:rPr>
        <w:t>成交供应商必须将所有设备产品送至采购人指定地点拆封，根据采购人要求安装调试，接受验收。</w:t>
      </w:r>
    </w:p>
    <w:p w14:paraId="2FE27500">
      <w:pPr>
        <w:spacing w:line="360" w:lineRule="auto"/>
        <w:ind w:firstLine="480" w:firstLineChars="200"/>
      </w:pPr>
      <w:r>
        <w:rPr>
          <w:rFonts w:hint="eastAsia"/>
        </w:rPr>
        <w:t>3.验收标准：根据采购人要求接受验收。</w:t>
      </w:r>
    </w:p>
    <w:p w14:paraId="4FFA698A">
      <w:pPr>
        <w:spacing w:line="360" w:lineRule="auto"/>
        <w:ind w:firstLine="480" w:firstLineChars="200"/>
      </w:pPr>
      <w:r>
        <w:rPr>
          <w:rFonts w:hint="eastAsia"/>
        </w:rPr>
        <w:t>4.验收时间：设备安装调试经招标方临床试用并达到验收标准后，招标方根据合同约定组织验收。</w:t>
      </w:r>
    </w:p>
    <w:p w14:paraId="264615AF">
      <w:pPr>
        <w:spacing w:line="360" w:lineRule="auto"/>
        <w:ind w:firstLine="480" w:firstLineChars="200"/>
      </w:pPr>
      <w:r>
        <w:rPr>
          <w:rFonts w:hint="eastAsia"/>
        </w:rPr>
        <w:t>5.验收内容：包括设备品牌、型号、规格、数量是否符合合同规定，外观质量、 产品包装是否完好（隐藏部件除外）、安装调试是否合格，所提供设备的装箱清单、 操作说明书、维修手册、电路图本、电气说明书、包括外构件的详细资料、原厂维保 卡、随机工具等是否齐全。</w:t>
      </w:r>
    </w:p>
    <w:p w14:paraId="4C930E68">
      <w:pPr>
        <w:spacing w:line="360" w:lineRule="auto"/>
        <w:ind w:firstLine="480" w:firstLineChars="200"/>
      </w:pPr>
      <w:r>
        <w:rPr>
          <w:rFonts w:hint="eastAsia"/>
        </w:rPr>
        <w:t>6</w:t>
      </w:r>
      <w:r>
        <w:t>.</w:t>
      </w:r>
      <w:r>
        <w:rPr>
          <w:rFonts w:hint="eastAsia"/>
        </w:rPr>
        <w:t>交付地点：采购人指定地点。</w:t>
      </w:r>
    </w:p>
    <w:p w14:paraId="618AB847">
      <w:pPr>
        <w:spacing w:line="360" w:lineRule="auto"/>
        <w:ind w:firstLine="480" w:firstLineChars="200"/>
      </w:pPr>
      <w:r>
        <w:rPr>
          <w:rFonts w:hint="eastAsia"/>
        </w:rPr>
        <w:t>四、付款方式</w:t>
      </w:r>
    </w:p>
    <w:p w14:paraId="57B22455">
      <w:pPr>
        <w:spacing w:line="360" w:lineRule="auto"/>
        <w:ind w:firstLine="480" w:firstLineChars="200"/>
        <w:rPr>
          <w:rFonts w:ascii="宋体"/>
        </w:rPr>
      </w:pPr>
      <w:r>
        <w:rPr>
          <w:rFonts w:hint="eastAsia" w:ascii="宋体"/>
        </w:rPr>
        <w:t>付款方式：</w:t>
      </w:r>
      <w:r>
        <w:rPr>
          <w:rFonts w:hint="eastAsia"/>
        </w:rPr>
        <w:t>合同签订、货物运送到采购方指定地点且安装到位，并经验收通过合格后支付合同价款的70%，第二次付款满一年后支付至合同价款的90%，余款在质保期满3年且无质量问题后一次性付清。</w:t>
      </w:r>
    </w:p>
    <w:p w14:paraId="5671B1A6">
      <w:pPr>
        <w:spacing w:line="360" w:lineRule="auto"/>
        <w:ind w:firstLine="480" w:firstLineChars="200"/>
      </w:pPr>
      <w:r>
        <w:rPr>
          <w:rFonts w:hint="eastAsia"/>
        </w:rPr>
        <w:t>成交供应商凭采购合同、验收单（经验收合格）及正式发票按规定进行资金结算。</w:t>
      </w:r>
    </w:p>
    <w:p w14:paraId="315BDF7F">
      <w:pPr>
        <w:spacing w:line="360" w:lineRule="auto"/>
        <w:ind w:firstLine="480" w:firstLineChars="200"/>
      </w:pPr>
      <w:r>
        <w:rPr>
          <w:rFonts w:hint="eastAsia"/>
        </w:rPr>
        <w:t>五、其他约定事项：</w:t>
      </w:r>
    </w:p>
    <w:p w14:paraId="1D7C6CBF">
      <w:pPr>
        <w:spacing w:line="360" w:lineRule="auto"/>
        <w:ind w:firstLine="480" w:firstLineChars="200"/>
        <w:rPr>
          <w:rStyle w:val="57"/>
          <w:rFonts w:cs="宋体"/>
          <w:sz w:val="24"/>
        </w:rPr>
      </w:pPr>
      <w:r>
        <w:rPr>
          <w:rStyle w:val="57"/>
          <w:rFonts w:hint="eastAsia" w:cs="宋体"/>
          <w:sz w:val="24"/>
        </w:rPr>
        <w:t>1.投标人的投标报价，在合同实施期间，</w:t>
      </w:r>
      <w:r>
        <w:rPr>
          <w:rStyle w:val="57"/>
          <w:rFonts w:hint="eastAsia" w:cs="宋体"/>
          <w:b/>
          <w:bCs/>
          <w:sz w:val="24"/>
        </w:rPr>
        <w:t>中标单价</w:t>
      </w:r>
      <w:r>
        <w:rPr>
          <w:rStyle w:val="57"/>
          <w:rFonts w:hint="eastAsia" w:cs="宋体"/>
          <w:sz w:val="24"/>
        </w:rPr>
        <w:t>不随国家政策或法规、标准及任何市场因素的变化而进行调整，</w:t>
      </w:r>
      <w:r>
        <w:rPr>
          <w:rStyle w:val="57"/>
          <w:rFonts w:hint="eastAsia" w:cs="宋体"/>
          <w:b/>
          <w:bCs/>
          <w:sz w:val="24"/>
        </w:rPr>
        <w:t>按照实际交货、安装且验收合格产品数量结算。</w:t>
      </w:r>
    </w:p>
    <w:p w14:paraId="7E754DE6">
      <w:pPr>
        <w:spacing w:line="360" w:lineRule="auto"/>
        <w:ind w:firstLine="480" w:firstLineChars="200"/>
      </w:pPr>
      <w:r>
        <w:rPr>
          <w:rStyle w:val="57"/>
          <w:rFonts w:hint="eastAsia" w:cs="宋体"/>
          <w:sz w:val="24"/>
        </w:rPr>
        <w:t>2.中标供应商在履行合同过程中，一切事故其责任由中标供应商承担，采购人不承担任何责任。</w:t>
      </w:r>
    </w:p>
    <w:p w14:paraId="4B3CBC48">
      <w:pPr>
        <w:spacing w:line="360" w:lineRule="auto"/>
        <w:ind w:firstLine="480" w:firstLineChars="200"/>
      </w:pPr>
      <w:r>
        <w:rPr>
          <w:rFonts w:hint="eastAsia"/>
        </w:rPr>
        <w:t>3.为保证产品质量，投标人中标后，须提供符合国家规定验收标准的相关产品质量合格证书、检测报告等相关资料。如中标人弄虚作假，或未能提供产品相关资料，采购人有权拒收产品，并取消中标人中标资格。</w:t>
      </w:r>
    </w:p>
    <w:p w14:paraId="598A1B37">
      <w:pPr>
        <w:pStyle w:val="54"/>
        <w:adjustRightInd w:val="0"/>
        <w:snapToGrid w:val="0"/>
        <w:spacing w:afterLines="0" w:line="360" w:lineRule="auto"/>
        <w:ind w:firstLine="883" w:firstLineChars="200"/>
        <w:jc w:val="both"/>
        <w:rPr>
          <w:rFonts w:ascii="宋体" w:hAnsi="宋体" w:eastAsia="宋体" w:cs="宋体"/>
        </w:rPr>
      </w:pPr>
      <w:bookmarkStart w:id="70" w:name="_Toc335124682"/>
      <w:bookmarkStart w:id="71" w:name="_Toc335123871"/>
      <w:bookmarkStart w:id="72" w:name="_Toc307561711"/>
    </w:p>
    <w:p w14:paraId="376686BD">
      <w:r>
        <w:rPr>
          <w:rFonts w:hint="eastAsia"/>
        </w:rPr>
        <w:br w:type="page"/>
      </w:r>
    </w:p>
    <w:p w14:paraId="3E9692B3">
      <w:pPr>
        <w:pStyle w:val="54"/>
        <w:adjustRightInd w:val="0"/>
        <w:snapToGrid w:val="0"/>
        <w:spacing w:afterLines="0" w:line="520" w:lineRule="exact"/>
        <w:ind w:firstLine="1767" w:firstLineChars="400"/>
        <w:jc w:val="both"/>
        <w:rPr>
          <w:rFonts w:ascii="宋体" w:hAnsi="宋体" w:eastAsia="宋体" w:cs="宋体"/>
          <w:sz w:val="24"/>
        </w:rPr>
      </w:pPr>
      <w:r>
        <w:rPr>
          <w:rFonts w:hint="eastAsia" w:ascii="宋体" w:hAnsi="宋体" w:eastAsia="宋体" w:cs="宋体"/>
        </w:rPr>
        <w:t>第四章 评标方法</w:t>
      </w:r>
      <w:bookmarkEnd w:id="70"/>
      <w:bookmarkEnd w:id="71"/>
      <w:bookmarkEnd w:id="72"/>
      <w:r>
        <w:rPr>
          <w:rFonts w:hint="eastAsia" w:ascii="宋体" w:hAnsi="宋体" w:eastAsia="宋体" w:cs="宋体"/>
        </w:rPr>
        <w:t>与评标标准</w:t>
      </w:r>
    </w:p>
    <w:p w14:paraId="5D28FB2F"/>
    <w:p w14:paraId="7F95835F">
      <w:pPr>
        <w:spacing w:line="360" w:lineRule="auto"/>
      </w:pPr>
      <w:r>
        <w:rPr>
          <w:rFonts w:hint="eastAsia" w:ascii="宋体" w:cs="宋体"/>
        </w:rPr>
        <w:t>一、</w:t>
      </w:r>
      <w:r>
        <w:rPr>
          <w:rFonts w:hint="eastAsia"/>
        </w:rPr>
        <w:t>评标方法与定标原则</w:t>
      </w:r>
    </w:p>
    <w:p w14:paraId="14561DA8">
      <w:pPr>
        <w:spacing w:line="360" w:lineRule="auto"/>
      </w:pPr>
      <w:r>
        <w:rPr>
          <w:rFonts w:hint="eastAsia" w:cs="宋体"/>
        </w:rPr>
        <w:t>评委会将对确定为实质性响应招标文件要求的投标文件进行评价和比较，评标采用综合评分法。按评审后各评委打分算数和平均得分由高到低顺序排列。</w:t>
      </w:r>
      <w:r>
        <w:rPr>
          <w:rFonts w:hint="eastAsia"/>
          <w:b/>
        </w:rPr>
        <w:t>总分最高的为第一中标候选人，总分第二高的投标人为第二中标候选人，总分第三高的投标人为第三中标候选人，由评标委员会确定第一中标候选人为中标人，依次类推，由评标委员会确定第一中标候选人为本招标项目中标人。</w:t>
      </w:r>
      <w:r>
        <w:rPr>
          <w:rFonts w:hint="eastAsia"/>
        </w:rPr>
        <w:t>若得分相同的，按投标报价由低到高顺序排列。得分且投标报价相同的，按技术指标优劣顺序排列；如第一中标候选人放弃中标、因不可抗力提出不能履行合同、招标文件规定应当提交履约保证金而在规定的期限内未提交的，或者存在违法行为被有关部门依法查处，且其违法行为影响中标结果的，招标人依据招标投标法实施条例第五十五条可以按照评标委员会提出的中标候选人名单排序依次确定其他中标候选人为中标人，依次确定其他中标候选人与招标人预期差距较大，或者对招标人明显不利的，招标人可以重新招标。</w:t>
      </w:r>
    </w:p>
    <w:p w14:paraId="487D7B06">
      <w:pPr>
        <w:spacing w:line="360" w:lineRule="auto"/>
      </w:pPr>
      <w:r>
        <w:rPr>
          <w:rFonts w:hint="eastAsia"/>
        </w:rPr>
        <w:t>2.评分过程中采用“四舍五入”法，并保留小数2位。</w:t>
      </w:r>
    </w:p>
    <w:p w14:paraId="15828680">
      <w:pPr>
        <w:spacing w:line="360" w:lineRule="auto"/>
      </w:pPr>
      <w:r>
        <w:rPr>
          <w:rFonts w:hint="eastAsia"/>
        </w:rPr>
        <w:t>3.评标委员会认为，排在前面的中标候选人的最低投标报价或者某些分项报价明显不合理或者低于成本，有可能影响项目质量和不能诚信履约的，应当要求其在规定期限内提供书面文件予以解释说明，并提交相关证明材料；否则，评标委员会可以取消该投标供应商的中标候选资格，按顺序由排在后面的中标候选人递补，以此类推。</w:t>
      </w:r>
    </w:p>
    <w:p w14:paraId="177EB119">
      <w:pPr>
        <w:spacing w:line="360" w:lineRule="auto"/>
      </w:pPr>
      <w:r>
        <w:rPr>
          <w:rFonts w:hint="eastAsia"/>
        </w:rPr>
        <w:t>4.采购人根据评标委员会推荐的中标候选人排名顺序依次规定确定中标人，候选中标人有涉及对标书实证性内容的隐瞒、欺诈或违法违规行为，将被取消中标资格。</w:t>
      </w:r>
    </w:p>
    <w:p w14:paraId="14F5E786">
      <w:pPr>
        <w:pStyle w:val="5"/>
        <w:ind w:firstLine="161"/>
      </w:pPr>
      <w:r>
        <w:rPr>
          <w:rFonts w:hint="eastAsia"/>
        </w:rPr>
        <w:t>二、评标标准</w:t>
      </w:r>
    </w:p>
    <w:p w14:paraId="04F0BA56">
      <w:r>
        <w:rPr>
          <w:rFonts w:hint="eastAsia"/>
        </w:rPr>
        <w:t xml:space="preserve">（一）本项目采用综合评分法确定中标（候选）人。评标委员会将按下列评分办法和标准进行评分，总分值为100分。 </w:t>
      </w:r>
    </w:p>
    <w:tbl>
      <w:tblPr>
        <w:tblStyle w:val="23"/>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44"/>
        <w:gridCol w:w="5720"/>
        <w:gridCol w:w="1050"/>
      </w:tblGrid>
      <w:tr w14:paraId="2429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5F944B88">
            <w:pPr>
              <w:rPr>
                <w:kern w:val="0"/>
              </w:rPr>
            </w:pPr>
            <w:r>
              <w:rPr>
                <w:kern w:val="0"/>
              </w:rPr>
              <w:t>类别</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178229D4">
            <w:pPr>
              <w:rPr>
                <w:kern w:val="0"/>
              </w:rPr>
            </w:pPr>
            <w:r>
              <w:rPr>
                <w:kern w:val="0"/>
              </w:rPr>
              <w:t>评审因素</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1B8E186C">
            <w:pPr>
              <w:rPr>
                <w:kern w:val="0"/>
              </w:rPr>
            </w:pPr>
            <w:r>
              <w:rPr>
                <w:kern w:val="0"/>
              </w:rPr>
              <w:t>评审标准</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40B22822">
            <w:pPr>
              <w:rPr>
                <w:kern w:val="0"/>
              </w:rPr>
            </w:pPr>
            <w:r>
              <w:rPr>
                <w:kern w:val="0"/>
              </w:rPr>
              <w:t>分值</w:t>
            </w:r>
          </w:p>
        </w:tc>
      </w:tr>
      <w:tr w14:paraId="4590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49A59C">
            <w:pPr>
              <w:rPr>
                <w:kern w:val="0"/>
              </w:rPr>
            </w:pPr>
            <w:r>
              <w:rPr>
                <w:rFonts w:hint="eastAsia"/>
                <w:kern w:val="0"/>
              </w:rPr>
              <w:t>价格部分30分</w:t>
            </w:r>
          </w:p>
        </w:tc>
      </w:tr>
      <w:tr w14:paraId="6CF3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14:paraId="10D49E0A">
            <w:pPr>
              <w:rPr>
                <w:kern w:val="0"/>
              </w:rPr>
            </w:pPr>
            <w:r>
              <w:rPr>
                <w:rFonts w:hint="eastAsia"/>
                <w:kern w:val="0"/>
              </w:rPr>
              <w:t>价格部分</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7D3F3EC8">
            <w:r>
              <w:rPr>
                <w:rFonts w:hint="eastAsia"/>
              </w:rPr>
              <w:t>投标价格</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05DC3DEE">
            <w:pPr>
              <w:rPr>
                <w:kern w:val="0"/>
              </w:rPr>
            </w:pPr>
            <w:r>
              <w:rPr>
                <w:rFonts w:hint="eastAsia"/>
                <w:kern w:val="0"/>
              </w:rPr>
              <w:t>1.价格分按统一采用低价优先法计算，即满足招标文件要求且所投标价格最低的投标报价为对应的评标基准价，其价格分为满分30分。</w:t>
            </w:r>
          </w:p>
          <w:p w14:paraId="2A546098">
            <w:pPr>
              <w:rPr>
                <w:szCs w:val="21"/>
              </w:rPr>
            </w:pPr>
            <w:r>
              <w:rPr>
                <w:rFonts w:hint="eastAsia"/>
                <w:kern w:val="0"/>
              </w:rPr>
              <w:t>2.其他投标供应商的价格分计算公式如下：投标报价得分=（评标基准价／投标报价）×30；小数点后保留二位，四舍五入。</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01D50CEE">
            <w:pPr>
              <w:jc w:val="center"/>
              <w:rPr>
                <w:b/>
                <w:bCs/>
                <w:kern w:val="0"/>
              </w:rPr>
            </w:pPr>
            <w:r>
              <w:rPr>
                <w:rFonts w:hint="eastAsia"/>
                <w:kern w:val="0"/>
              </w:rPr>
              <w:t>30</w:t>
            </w:r>
          </w:p>
        </w:tc>
      </w:tr>
      <w:tr w14:paraId="7357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30377">
            <w:pPr>
              <w:rPr>
                <w:kern w:val="0"/>
              </w:rPr>
            </w:pPr>
            <w:r>
              <w:rPr>
                <w:rFonts w:hint="eastAsia"/>
                <w:kern w:val="0"/>
              </w:rPr>
              <w:t>商务、技术部分70分</w:t>
            </w:r>
          </w:p>
        </w:tc>
      </w:tr>
      <w:tr w14:paraId="3F5F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9" w:hRule="atLeast"/>
        </w:trPr>
        <w:tc>
          <w:tcPr>
            <w:tcW w:w="657" w:type="pct"/>
            <w:vMerge w:val="restart"/>
            <w:tcBorders>
              <w:top w:val="single" w:color="auto" w:sz="4" w:space="0"/>
              <w:left w:val="single" w:color="auto" w:sz="4" w:space="0"/>
              <w:right w:val="single" w:color="auto" w:sz="4" w:space="0"/>
            </w:tcBorders>
            <w:shd w:val="clear" w:color="auto" w:fill="auto"/>
            <w:vAlign w:val="center"/>
          </w:tcPr>
          <w:p w14:paraId="0626D5F1">
            <w:pPr>
              <w:rPr>
                <w:kern w:val="0"/>
              </w:rPr>
            </w:pPr>
            <w:r>
              <w:rPr>
                <w:kern w:val="0"/>
              </w:rPr>
              <w:t>技术</w:t>
            </w:r>
            <w:r>
              <w:rPr>
                <w:rFonts w:hint="eastAsia"/>
                <w:kern w:val="0"/>
              </w:rPr>
              <w:t>部分</w:t>
            </w:r>
            <w:r>
              <w:rPr>
                <w:kern w:val="0"/>
              </w:rPr>
              <w:t>（</w:t>
            </w:r>
            <w:r>
              <w:rPr>
                <w:rFonts w:hint="eastAsia"/>
                <w:kern w:val="0"/>
              </w:rPr>
              <w:t>53</w:t>
            </w:r>
            <w:r>
              <w:rPr>
                <w:kern w:val="0"/>
              </w:rPr>
              <w:t>分）</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08661D08">
            <w:pPr>
              <w:rPr>
                <w:kern w:val="0"/>
              </w:rPr>
            </w:pPr>
          </w:p>
          <w:p w14:paraId="30A45281">
            <w:pPr>
              <w:rPr>
                <w:kern w:val="0"/>
              </w:rPr>
            </w:pPr>
          </w:p>
          <w:p w14:paraId="4BE679EB">
            <w:pPr>
              <w:rPr>
                <w:kern w:val="0"/>
              </w:rPr>
            </w:pPr>
            <w:r>
              <w:rPr>
                <w:rFonts w:hint="eastAsia"/>
                <w:kern w:val="0"/>
              </w:rPr>
              <w:t>技术参数响应</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7CDBB8C9">
            <w:pPr>
              <w:rPr>
                <w:kern w:val="0"/>
              </w:rPr>
            </w:pPr>
            <w:r>
              <w:rPr>
                <w:rFonts w:hint="eastAsia"/>
                <w:kern w:val="0"/>
              </w:rPr>
              <w:t>根据投标人所投产品的技术参数及性能与招标文件要求的响应程度进行比较，投标人所投产品的技术参数、规格及材质能够完全响应招标文件要求的得 39分；标“</w:t>
            </w:r>
            <w:r>
              <w:rPr>
                <w:rFonts w:hint="eastAsia" w:ascii="宋体" w:cs="宋体"/>
              </w:rPr>
              <w:t>★</w:t>
            </w:r>
            <w:r>
              <w:rPr>
                <w:rFonts w:hint="eastAsia"/>
                <w:kern w:val="0"/>
              </w:rPr>
              <w:t xml:space="preserve">”的技术参数每有一项负偏离扣 5分，标“▲”的技术参数每有一项负偏离扣 3分，其他技术参数每有一项负偏离扣1分，扣完为止。 注：投标人需详尽真实的提供投标产品的 技术响应偏差表，具体由评标委员会根据技术要 求细则，对各投标单位投标产品的技术响应情况 进行评比打分（技术参数中加“ </w:t>
            </w:r>
            <w:r>
              <w:rPr>
                <w:rFonts w:hint="eastAsia" w:ascii="宋体" w:cs="宋体"/>
              </w:rPr>
              <w:t>★</w:t>
            </w:r>
            <w:r>
              <w:rPr>
                <w:rFonts w:hint="eastAsia"/>
                <w:kern w:val="0"/>
              </w:rPr>
              <w:t>、▲”部分均需要在投标文件中提供证明文件等相关材料【提供设 备制造商的原厂产品技术白皮书或官网截图或产 品彩页或第三方检测报告或注册证等证明材料， (技术参数中有要求的必须提供要求的证明材料) ，否则视为负偏离】，且均需在技术响应偏差表详尽真实的提供偏差情况及证明材料页码，否则视为负偏离）。本项最低得 0分，最高得 39分</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3DB7D997">
            <w:pPr>
              <w:jc w:val="center"/>
              <w:rPr>
                <w:kern w:val="0"/>
              </w:rPr>
            </w:pPr>
            <w:r>
              <w:rPr>
                <w:rFonts w:hint="eastAsia"/>
                <w:kern w:val="0"/>
              </w:rPr>
              <w:t>39</w:t>
            </w:r>
          </w:p>
        </w:tc>
      </w:tr>
      <w:tr w14:paraId="2A11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7" w:type="pct"/>
            <w:vMerge w:val="continue"/>
            <w:tcBorders>
              <w:left w:val="single" w:color="auto" w:sz="4" w:space="0"/>
              <w:right w:val="single" w:color="auto" w:sz="4" w:space="0"/>
            </w:tcBorders>
            <w:shd w:val="clear" w:color="auto" w:fill="auto"/>
            <w:vAlign w:val="center"/>
          </w:tcPr>
          <w:p w14:paraId="3E4A3185">
            <w:pPr>
              <w:rPr>
                <w:kern w:val="0"/>
              </w:rPr>
            </w:pPr>
          </w:p>
        </w:tc>
        <w:tc>
          <w:tcPr>
            <w:tcW w:w="674" w:type="pct"/>
            <w:tcBorders>
              <w:left w:val="single" w:color="auto" w:sz="4" w:space="0"/>
              <w:right w:val="single" w:color="auto" w:sz="4" w:space="0"/>
            </w:tcBorders>
            <w:shd w:val="clear" w:color="auto" w:fill="auto"/>
            <w:vAlign w:val="center"/>
          </w:tcPr>
          <w:p w14:paraId="41029A92">
            <w:pPr>
              <w:rPr>
                <w:szCs w:val="21"/>
              </w:rPr>
            </w:pPr>
            <w:r>
              <w:rPr>
                <w:rFonts w:hint="eastAsia"/>
              </w:rPr>
              <w:t>安装、调试、验收</w:t>
            </w:r>
          </w:p>
          <w:p w14:paraId="4C592183">
            <w:pPr>
              <w:rPr>
                <w:kern w:val="0"/>
              </w:rPr>
            </w:pP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13C10E67">
            <w:pPr>
              <w:rPr>
                <w:szCs w:val="21"/>
              </w:rPr>
            </w:pPr>
            <w:r>
              <w:rPr>
                <w:rFonts w:hint="eastAsia"/>
              </w:rPr>
              <w:t>根据投标人所提供的安装、调试、验收方法或方案，根据方案和措施科学性、有效性进行打分，无方案无措施的不得分。</w:t>
            </w:r>
          </w:p>
        </w:tc>
        <w:tc>
          <w:tcPr>
            <w:tcW w:w="568" w:type="pct"/>
            <w:tcBorders>
              <w:left w:val="single" w:color="auto" w:sz="4" w:space="0"/>
              <w:right w:val="single" w:color="auto" w:sz="4" w:space="0"/>
            </w:tcBorders>
            <w:shd w:val="clear" w:color="auto" w:fill="auto"/>
            <w:vAlign w:val="center"/>
          </w:tcPr>
          <w:p w14:paraId="1DF3ED46">
            <w:pPr>
              <w:jc w:val="center"/>
              <w:rPr>
                <w:kern w:val="0"/>
              </w:rPr>
            </w:pPr>
            <w:r>
              <w:rPr>
                <w:rFonts w:hint="eastAsia"/>
                <w:kern w:val="0"/>
              </w:rPr>
              <w:t>2</w:t>
            </w:r>
          </w:p>
        </w:tc>
      </w:tr>
      <w:tr w14:paraId="7951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57" w:type="pct"/>
            <w:vMerge w:val="continue"/>
            <w:tcBorders>
              <w:left w:val="single" w:color="auto" w:sz="4" w:space="0"/>
              <w:right w:val="single" w:color="auto" w:sz="4" w:space="0"/>
            </w:tcBorders>
            <w:shd w:val="clear" w:color="auto" w:fill="auto"/>
            <w:vAlign w:val="center"/>
          </w:tcPr>
          <w:p w14:paraId="447D8A10">
            <w:pPr>
              <w:rPr>
                <w:kern w:val="0"/>
              </w:rPr>
            </w:pPr>
          </w:p>
        </w:tc>
        <w:tc>
          <w:tcPr>
            <w:tcW w:w="674" w:type="pct"/>
            <w:tcBorders>
              <w:left w:val="single" w:color="auto" w:sz="4" w:space="0"/>
              <w:bottom w:val="single" w:color="auto" w:sz="4" w:space="0"/>
              <w:right w:val="single" w:color="auto" w:sz="4" w:space="0"/>
            </w:tcBorders>
            <w:shd w:val="clear" w:color="auto" w:fill="auto"/>
            <w:vAlign w:val="center"/>
          </w:tcPr>
          <w:p w14:paraId="50B1341E">
            <w:pPr>
              <w:rPr>
                <w:szCs w:val="21"/>
              </w:rPr>
            </w:pPr>
            <w:r>
              <w:rPr>
                <w:rFonts w:hint="eastAsia"/>
              </w:rPr>
              <w:t>培训方案</w:t>
            </w:r>
          </w:p>
          <w:p w14:paraId="6801535A">
            <w:pPr>
              <w:rPr>
                <w:kern w:val="0"/>
              </w:rPr>
            </w:pP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2B518DCC">
            <w:pPr>
              <w:rPr>
                <w:szCs w:val="21"/>
              </w:rPr>
            </w:pPr>
            <w:r>
              <w:t>根据各投标</w:t>
            </w:r>
            <w:r>
              <w:rPr>
                <w:rFonts w:hint="eastAsia"/>
              </w:rPr>
              <w:t>人</w:t>
            </w:r>
            <w:r>
              <w:t>针对本项目制定的培训方案进行打分，含培训方案合理程度，方案的完整性、灵活性及培训人数、时间的安排等、技术培训方案（包括产品安装、检验、调试、使用和维护、一般故障排除、重大故障应急等方面的培训内容）等内容进行打分，并承诺方案具体，思路清晰，培训要点难点明确分析精准，宣传覆盖面广泛的，且培训计划覆盖供货、安装服务期，优于并全面满足采购需求，得</w:t>
            </w:r>
            <w:r>
              <w:rPr>
                <w:rFonts w:hint="eastAsia"/>
              </w:rPr>
              <w:t>6分，</w:t>
            </w:r>
            <w:r>
              <w:t>承诺方案比较具体，思路比较清晰，培训要点难点分析较有力，宣传覆盖面较广泛的，且培训计划覆盖供货、安装服务期，满足采购需求，得</w:t>
            </w:r>
            <w:r>
              <w:rPr>
                <w:rFonts w:hint="eastAsia"/>
              </w:rPr>
              <w:t>3</w:t>
            </w:r>
            <w:r>
              <w:t xml:space="preserve">分；方案不具体，思路不清晰，培训要点难点未有具体分析，宣传覆盖面未体现的，且培训计划覆盖供货、安装服务期，未能体现满足采购需求的，得 1 分；本项最高得 </w:t>
            </w:r>
            <w:r>
              <w:rPr>
                <w:rFonts w:hint="eastAsia"/>
              </w:rPr>
              <w:t>6</w:t>
            </w:r>
            <w:r>
              <w:t xml:space="preserve"> 分，未提供不得分。</w:t>
            </w:r>
          </w:p>
        </w:tc>
        <w:tc>
          <w:tcPr>
            <w:tcW w:w="568" w:type="pct"/>
            <w:tcBorders>
              <w:left w:val="single" w:color="auto" w:sz="4" w:space="0"/>
              <w:bottom w:val="single" w:color="auto" w:sz="4" w:space="0"/>
              <w:right w:val="single" w:color="auto" w:sz="4" w:space="0"/>
            </w:tcBorders>
            <w:shd w:val="clear" w:color="auto" w:fill="auto"/>
            <w:vAlign w:val="center"/>
          </w:tcPr>
          <w:p w14:paraId="314B657C">
            <w:pPr>
              <w:jc w:val="center"/>
              <w:rPr>
                <w:kern w:val="0"/>
              </w:rPr>
            </w:pPr>
            <w:r>
              <w:rPr>
                <w:rFonts w:hint="eastAsia"/>
                <w:kern w:val="0"/>
              </w:rPr>
              <w:t>6</w:t>
            </w:r>
          </w:p>
        </w:tc>
      </w:tr>
      <w:tr w14:paraId="0852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7" w:type="pct"/>
            <w:vMerge w:val="continue"/>
            <w:tcBorders>
              <w:left w:val="single" w:color="auto" w:sz="4" w:space="0"/>
              <w:bottom w:val="single" w:color="auto" w:sz="4" w:space="0"/>
              <w:right w:val="single" w:color="auto" w:sz="4" w:space="0"/>
            </w:tcBorders>
            <w:shd w:val="clear" w:color="auto" w:fill="auto"/>
            <w:vAlign w:val="center"/>
          </w:tcPr>
          <w:p w14:paraId="1B39DD21">
            <w:pPr>
              <w:rPr>
                <w:kern w:val="0"/>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567E815D">
            <w:pPr>
              <w:rPr>
                <w:kern w:val="0"/>
              </w:rPr>
            </w:pPr>
            <w:r>
              <w:rPr>
                <w:rFonts w:hint="eastAsia"/>
                <w:kern w:val="0"/>
              </w:rPr>
              <w:t>应急及售后服务方 案</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0FE22116">
            <w:pPr>
              <w:rPr>
                <w:kern w:val="0"/>
              </w:rPr>
            </w:pPr>
            <w:r>
              <w:rPr>
                <w:rFonts w:hint="eastAsia"/>
                <w:kern w:val="0"/>
              </w:rPr>
              <w:t>根据各投标人提供符合医院情况的售后及应急服务方案及售后服务承诺。根据其完善性、可实施性及承诺响应时间、工程到场时间进行综合评审。要求：响应时间满足 2小时内电话响应进行线上指导，24小时内达到现场，并提供备用配件供临时使用。应急售后措施完善，有预见性，对可能存在的情况有具体应对方案和具体时间节点安排，管理力量雄厚，技术人员专业素养高且有经验，人员配备合理，承诺响应时间、到场时间最短且方案最为合理完善的得 6分；应急措施比较完善，比较有预见性，对可能存在的情况有比较具体的应对方案和时间安排，管理力量比较雄厚，技术人员专业素养较高且有一定经验，人员配备 较合理，承诺响应时间、到场时间较短且方案较为合理完善得 3分；应急措施不太完善，有一定预见性，对可能存在的情况有一定的应对方案和时间安排，有一定的管理力量，具备符合要求的技术人员，人员配备相对合理，承诺响应时间、到场时间较长且方案较为合理得 1 分；其余或不提供不得分。</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18D404DA">
            <w:pPr>
              <w:jc w:val="center"/>
              <w:rPr>
                <w:kern w:val="0"/>
              </w:rPr>
            </w:pPr>
            <w:r>
              <w:rPr>
                <w:rFonts w:hint="eastAsia"/>
                <w:kern w:val="0"/>
              </w:rPr>
              <w:t>6</w:t>
            </w:r>
          </w:p>
        </w:tc>
      </w:tr>
      <w:tr w14:paraId="3943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57" w:type="pct"/>
            <w:vMerge w:val="restart"/>
            <w:tcBorders>
              <w:top w:val="single" w:color="auto" w:sz="4" w:space="0"/>
              <w:left w:val="single" w:color="auto" w:sz="4" w:space="0"/>
              <w:right w:val="single" w:color="auto" w:sz="4" w:space="0"/>
            </w:tcBorders>
            <w:shd w:val="clear" w:color="auto" w:fill="auto"/>
            <w:vAlign w:val="center"/>
          </w:tcPr>
          <w:p w14:paraId="75E8CD3E">
            <w:pPr>
              <w:rPr>
                <w:kern w:val="0"/>
              </w:rPr>
            </w:pPr>
            <w:r>
              <w:rPr>
                <w:rFonts w:hint="eastAsia"/>
                <w:kern w:val="0"/>
              </w:rPr>
              <w:t>商务部分（17分）</w:t>
            </w:r>
          </w:p>
        </w:tc>
        <w:tc>
          <w:tcPr>
            <w:tcW w:w="674" w:type="pct"/>
            <w:tcBorders>
              <w:top w:val="single" w:color="auto" w:sz="4" w:space="0"/>
              <w:left w:val="single" w:color="auto" w:sz="4" w:space="0"/>
              <w:right w:val="single" w:color="auto" w:sz="4" w:space="0"/>
            </w:tcBorders>
            <w:shd w:val="clear" w:color="auto" w:fill="auto"/>
            <w:vAlign w:val="center"/>
          </w:tcPr>
          <w:p w14:paraId="0B0DEE53">
            <w:pPr>
              <w:rPr>
                <w:kern w:val="0"/>
              </w:rPr>
            </w:pPr>
            <w:r>
              <w:rPr>
                <w:rFonts w:hint="eastAsia"/>
                <w:kern w:val="0"/>
              </w:rPr>
              <w:t>质保期</w:t>
            </w:r>
          </w:p>
        </w:tc>
        <w:tc>
          <w:tcPr>
            <w:tcW w:w="3100" w:type="pct"/>
            <w:tcBorders>
              <w:top w:val="single" w:color="auto" w:sz="4" w:space="0"/>
              <w:left w:val="single" w:color="auto" w:sz="4" w:space="0"/>
              <w:right w:val="single" w:color="auto" w:sz="4" w:space="0"/>
            </w:tcBorders>
            <w:shd w:val="clear" w:color="auto" w:fill="auto"/>
            <w:vAlign w:val="center"/>
          </w:tcPr>
          <w:p w14:paraId="42F00393">
            <w:pPr>
              <w:rPr>
                <w:kern w:val="0"/>
              </w:rPr>
            </w:pPr>
            <w:r>
              <w:rPr>
                <w:rFonts w:hint="eastAsia"/>
                <w:kern w:val="0"/>
              </w:rPr>
              <w:t>在满足招标文件要求的基础上，质保期每增加1年得2分，满分4分。提供质保承诺（格式自拟并加盖投标人公章），未提供不得分。</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1D595CEB">
            <w:pPr>
              <w:jc w:val="center"/>
              <w:rPr>
                <w:kern w:val="0"/>
              </w:rPr>
            </w:pPr>
            <w:r>
              <w:rPr>
                <w:rFonts w:hint="eastAsia"/>
                <w:kern w:val="0"/>
              </w:rPr>
              <w:t>4</w:t>
            </w:r>
          </w:p>
        </w:tc>
      </w:tr>
      <w:tr w14:paraId="2496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657" w:type="pct"/>
            <w:vMerge w:val="continue"/>
            <w:tcBorders>
              <w:left w:val="single" w:color="auto" w:sz="4" w:space="0"/>
              <w:right w:val="single" w:color="auto" w:sz="4" w:space="0"/>
            </w:tcBorders>
            <w:shd w:val="clear" w:color="auto" w:fill="auto"/>
            <w:vAlign w:val="center"/>
          </w:tcPr>
          <w:p w14:paraId="06099D1C">
            <w:pPr>
              <w:rPr>
                <w:kern w:val="0"/>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2F25D8AA">
            <w:pPr>
              <w:rPr>
                <w:kern w:val="0"/>
              </w:rPr>
            </w:pPr>
            <w:r>
              <w:rPr>
                <w:rFonts w:hint="eastAsia"/>
                <w:kern w:val="0"/>
              </w:rPr>
              <w:t>企业业绩</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7810BFA2">
            <w:pPr>
              <w:pStyle w:val="85"/>
            </w:pPr>
            <w:r>
              <w:rPr>
                <w:rFonts w:hint="eastAsia" w:hAnsi="宋体"/>
                <w:kern w:val="0"/>
                <w:sz w:val="24"/>
                <w:szCs w:val="24"/>
              </w:rPr>
              <w:t>提供所投产品业绩，自2021年6月1日（以合同签订时间为准）以来在具有与投标产品主机同品牌、同型号项目业绩的，每提供一个得 3分，最高得12分。 注：①提供中标（成交）通知书、合同复印件（合同内容、数量、金额等需清晰可见，否则不予得分）； ②提供所投产品注册证</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04EC952A">
            <w:pPr>
              <w:jc w:val="center"/>
              <w:rPr>
                <w:kern w:val="0"/>
              </w:rPr>
            </w:pPr>
            <w:r>
              <w:rPr>
                <w:rFonts w:hint="eastAsia"/>
                <w:kern w:val="0"/>
              </w:rPr>
              <w:t>12</w:t>
            </w:r>
          </w:p>
        </w:tc>
      </w:tr>
      <w:tr w14:paraId="1C53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7" w:type="pct"/>
            <w:vMerge w:val="continue"/>
            <w:tcBorders>
              <w:left w:val="single" w:color="auto" w:sz="4" w:space="0"/>
              <w:bottom w:val="single" w:color="auto" w:sz="4" w:space="0"/>
              <w:right w:val="single" w:color="auto" w:sz="4" w:space="0"/>
            </w:tcBorders>
            <w:shd w:val="clear" w:color="auto" w:fill="auto"/>
            <w:vAlign w:val="center"/>
          </w:tcPr>
          <w:p w14:paraId="0934911B">
            <w:pPr>
              <w:rPr>
                <w:kern w:val="0"/>
              </w:rPr>
            </w:pP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14:paraId="6BD135F3">
            <w:pPr>
              <w:rPr>
                <w:kern w:val="0"/>
              </w:rPr>
            </w:pPr>
            <w:r>
              <w:rPr>
                <w:rFonts w:hint="eastAsia"/>
                <w:kern w:val="0"/>
              </w:rPr>
              <w:t>节能及环境标志产 品</w:t>
            </w:r>
          </w:p>
        </w:tc>
        <w:tc>
          <w:tcPr>
            <w:tcW w:w="3100" w:type="pct"/>
            <w:tcBorders>
              <w:top w:val="single" w:color="auto" w:sz="4" w:space="0"/>
              <w:left w:val="single" w:color="auto" w:sz="4" w:space="0"/>
              <w:bottom w:val="single" w:color="auto" w:sz="4" w:space="0"/>
              <w:right w:val="single" w:color="auto" w:sz="4" w:space="0"/>
            </w:tcBorders>
            <w:shd w:val="clear" w:color="auto" w:fill="auto"/>
            <w:vAlign w:val="center"/>
          </w:tcPr>
          <w:p w14:paraId="36287D36">
            <w:pPr>
              <w:rPr>
                <w:kern w:val="0"/>
              </w:rPr>
            </w:pPr>
            <w:r>
              <w:rPr>
                <w:rFonts w:hint="eastAsia"/>
                <w:kern w:val="0"/>
              </w:rPr>
              <w:t>投标所投产品在财政部、生态环境部公布的“环境标志产品政府采购品目清单”内，且投标文件中提供国家市场监督管理局确定的列入“参与实施政府采购环境标志产品认证机构名录”内的认证机构出具的、有效期内的该产品环境标志产品认证证书原件扫描件的得 0.5分；</w:t>
            </w:r>
          </w:p>
          <w:p w14:paraId="511E0034">
            <w:pPr>
              <w:rPr>
                <w:kern w:val="0"/>
              </w:rPr>
            </w:pPr>
            <w:r>
              <w:rPr>
                <w:rFonts w:hint="eastAsia"/>
                <w:kern w:val="0"/>
              </w:rPr>
              <w:t>2 、投标所投产品财政部、发展改革委公布的“节能产品政府采购 品目清单”内，且投标文件中提供国家市场监督管 理局确定的列入“参与实施政府采购节能产品认证机构名录”内的认证机构出具的、有效期内的该产品的节能产品认证证书原件扫描件的得0.5分。</w:t>
            </w:r>
          </w:p>
        </w:tc>
        <w:tc>
          <w:tcPr>
            <w:tcW w:w="568" w:type="pct"/>
            <w:tcBorders>
              <w:top w:val="single" w:color="auto" w:sz="4" w:space="0"/>
              <w:left w:val="single" w:color="auto" w:sz="4" w:space="0"/>
              <w:bottom w:val="single" w:color="auto" w:sz="4" w:space="0"/>
              <w:right w:val="single" w:color="auto" w:sz="4" w:space="0"/>
            </w:tcBorders>
            <w:shd w:val="clear" w:color="auto" w:fill="auto"/>
            <w:vAlign w:val="center"/>
          </w:tcPr>
          <w:p w14:paraId="62FC7852">
            <w:pPr>
              <w:jc w:val="center"/>
              <w:rPr>
                <w:kern w:val="0"/>
              </w:rPr>
            </w:pPr>
            <w:r>
              <w:rPr>
                <w:rFonts w:hint="eastAsia"/>
                <w:kern w:val="0"/>
              </w:rPr>
              <w:t>1</w:t>
            </w:r>
          </w:p>
        </w:tc>
      </w:tr>
    </w:tbl>
    <w:p w14:paraId="13919723">
      <w:pPr>
        <w:rPr>
          <w:lang w:val="zh-CN"/>
        </w:rPr>
      </w:pPr>
    </w:p>
    <w:p w14:paraId="66445168">
      <w:pPr>
        <w:spacing w:line="360" w:lineRule="auto"/>
        <w:ind w:firstLine="480" w:firstLineChars="200"/>
      </w:pPr>
      <w:r>
        <w:rPr>
          <w:rFonts w:hint="eastAsia"/>
        </w:rPr>
        <w:t>注</w:t>
      </w:r>
      <w:r>
        <w:t>:1.</w:t>
      </w:r>
      <w:r>
        <w:rPr>
          <w:rFonts w:hint="eastAsia"/>
        </w:rPr>
        <w:t>投标文件中未提供评分标准中涉及的证书证明等资料扫描件加盖电子签章或复印件加盖红色实物公章，相应条款不得分；</w:t>
      </w:r>
    </w:p>
    <w:p w14:paraId="63882FD7">
      <w:pPr>
        <w:pStyle w:val="2"/>
        <w:spacing w:line="360" w:lineRule="auto"/>
        <w:ind w:left="480" w:firstLine="480"/>
      </w:pPr>
      <w:r>
        <w:t>2.</w:t>
      </w:r>
      <w:r>
        <w:rPr>
          <w:rFonts w:hint="eastAsia"/>
        </w:rPr>
        <w:t>请各供应商按照以下文件的要求格式、内容，顺序制作投标文件，并请编制目录及页码，以最大限度的避免造成评委误判或漏判。</w:t>
      </w:r>
    </w:p>
    <w:p w14:paraId="5CBD8D91">
      <w:pPr>
        <w:pStyle w:val="2"/>
        <w:spacing w:line="360" w:lineRule="auto"/>
        <w:ind w:left="480" w:firstLine="480"/>
      </w:pPr>
      <w:r>
        <w:t>3.</w:t>
      </w:r>
      <w:r>
        <w:rPr>
          <w:rFonts w:hint="eastAsia"/>
        </w:rPr>
        <w:t>业绩应提供中文文本，如是外文文本，请翻译成中文文本并须公证处公证，否则该项业绩在评标时不予认可。</w:t>
      </w:r>
    </w:p>
    <w:p w14:paraId="572C1B22">
      <w:pPr>
        <w:spacing w:line="360" w:lineRule="auto"/>
        <w:ind w:firstLine="480" w:firstLineChars="200"/>
      </w:pPr>
      <w:r>
        <w:t>4.</w:t>
      </w:r>
      <w:r>
        <w:rPr>
          <w:rFonts w:hint="eastAsia"/>
        </w:rPr>
        <w:t>所有打分项均以招标人所提供的招标文件进行评分，招标文件中未提及的不予认可，投标截止时间后不得修改或是补充投标文件。</w:t>
      </w:r>
    </w:p>
    <w:p w14:paraId="60E2B79B">
      <w:pPr>
        <w:spacing w:line="360" w:lineRule="auto"/>
        <w:ind w:firstLine="480" w:firstLineChars="200"/>
      </w:pPr>
      <w:r>
        <w:t>5.</w:t>
      </w:r>
      <w:r>
        <w:rPr>
          <w:rFonts w:hint="eastAsia"/>
        </w:rPr>
        <w:t>以上评分标准中所要求的原件备查均为应将相关原件随身携带做好随时视频备查，不提供或提供不全原件的对应项不得分。</w:t>
      </w:r>
    </w:p>
    <w:p w14:paraId="739B330F">
      <w:pPr>
        <w:spacing w:line="360" w:lineRule="auto"/>
        <w:ind w:firstLine="480" w:firstLineChars="200"/>
      </w:pPr>
      <w:r>
        <w:t>6.</w:t>
      </w:r>
      <w:r>
        <w:rPr>
          <w:rFonts w:hint="eastAsia"/>
        </w:rPr>
        <w:t>政府采购政策功能落实</w:t>
      </w:r>
    </w:p>
    <w:p w14:paraId="2AA95195">
      <w:pPr>
        <w:spacing w:line="360" w:lineRule="auto"/>
        <w:ind w:firstLine="480" w:firstLineChars="200"/>
      </w:pPr>
      <w:r>
        <w:rPr>
          <w:rFonts w:hint="eastAsia"/>
        </w:rPr>
        <w:t>（一）小微型企业价格扣除</w:t>
      </w:r>
    </w:p>
    <w:p w14:paraId="28063B69">
      <w:pPr>
        <w:spacing w:line="360" w:lineRule="auto"/>
        <w:ind w:firstLine="480" w:firstLineChars="200"/>
      </w:pPr>
      <w:r>
        <w:rPr>
          <w:rFonts w:hint="eastAsia"/>
        </w:rPr>
        <w:t>（</w:t>
      </w:r>
      <w:r>
        <w:t>1</w:t>
      </w:r>
      <w:r>
        <w:rPr>
          <w:rFonts w:hint="eastAsia"/>
        </w:rPr>
        <w:t>）本项目对小型和微型企业产品给予</w:t>
      </w:r>
      <w:r>
        <w:t>10%</w:t>
      </w:r>
      <w:r>
        <w:rPr>
          <w:rFonts w:hint="eastAsia"/>
        </w:rPr>
        <w:t>的扣除价格，用扣除后的价格参与评审。</w:t>
      </w:r>
    </w:p>
    <w:p w14:paraId="3C32352A">
      <w:pPr>
        <w:spacing w:line="360" w:lineRule="auto"/>
        <w:ind w:firstLine="480" w:firstLineChars="200"/>
      </w:pPr>
      <w:r>
        <w:rPr>
          <w:rFonts w:hint="eastAsia"/>
        </w:rPr>
        <w:t>（</w:t>
      </w:r>
      <w:r>
        <w:t>2</w:t>
      </w:r>
      <w:r>
        <w:rPr>
          <w:rFonts w:hint="eastAsia"/>
        </w:rPr>
        <w:t>）供应商需按照采购文件的要求提供相应的《中小企业声明函》。</w:t>
      </w:r>
    </w:p>
    <w:p w14:paraId="64D94F96">
      <w:pPr>
        <w:spacing w:line="360" w:lineRule="auto"/>
        <w:ind w:firstLine="480" w:firstLineChars="200"/>
      </w:pPr>
      <w:r>
        <w:rPr>
          <w:rFonts w:hint="eastAsia"/>
        </w:rPr>
        <w:t>（</w:t>
      </w:r>
      <w:r>
        <w:t>3</w:t>
      </w:r>
      <w:r>
        <w:rPr>
          <w:rFonts w:hint="eastAsia"/>
        </w:rPr>
        <w:t>）企业标准请参照《关于印发中小企业划型标准规定的通知》（工信部联企业</w:t>
      </w:r>
      <w:r>
        <w:t>[2011]300</w:t>
      </w:r>
      <w:r>
        <w:rPr>
          <w:rFonts w:hint="eastAsia"/>
        </w:rPr>
        <w:t>号）文件规定自行填写。</w:t>
      </w:r>
    </w:p>
    <w:p w14:paraId="20A04A32">
      <w:pPr>
        <w:spacing w:line="360" w:lineRule="auto"/>
        <w:ind w:firstLine="480" w:firstLineChars="200"/>
      </w:pPr>
      <w:r>
        <w:rPr>
          <w:rFonts w:hint="eastAsia"/>
        </w:rPr>
        <w:t>（二）残疾人福利单位价格扣除</w:t>
      </w:r>
    </w:p>
    <w:p w14:paraId="1B364DB3">
      <w:pPr>
        <w:spacing w:line="360" w:lineRule="auto"/>
        <w:ind w:firstLine="480" w:firstLineChars="200"/>
      </w:pPr>
      <w:r>
        <w:rPr>
          <w:rFonts w:hint="eastAsia"/>
        </w:rPr>
        <w:t>（</w:t>
      </w:r>
      <w:r>
        <w:t>1</w:t>
      </w:r>
      <w:r>
        <w:rPr>
          <w:rFonts w:hint="eastAsia"/>
        </w:rPr>
        <w:t>）本项目对残疾人福利性单位视同小型、微型企业，给予</w:t>
      </w:r>
      <w:r>
        <w:t>10%</w:t>
      </w:r>
      <w:r>
        <w:rPr>
          <w:rFonts w:hint="eastAsia"/>
        </w:rPr>
        <w:t>的价格扣除，用扣除后的价格参与评审。</w:t>
      </w:r>
    </w:p>
    <w:p w14:paraId="17441DFA">
      <w:pPr>
        <w:spacing w:line="360" w:lineRule="auto"/>
        <w:ind w:firstLine="480" w:firstLineChars="200"/>
      </w:pPr>
      <w:r>
        <w:rPr>
          <w:rFonts w:hint="eastAsia"/>
        </w:rPr>
        <w:t>（</w:t>
      </w:r>
      <w:r>
        <w:t>2</w:t>
      </w:r>
      <w:r>
        <w:rPr>
          <w:rFonts w:hint="eastAsia"/>
        </w:rPr>
        <w:t>）残疾人福利单位需按照采购文件的要求提供《残疾人福利性单位声明函》。</w:t>
      </w:r>
    </w:p>
    <w:p w14:paraId="48656191">
      <w:pPr>
        <w:spacing w:line="360" w:lineRule="auto"/>
        <w:ind w:firstLine="480" w:firstLineChars="200"/>
      </w:pPr>
      <w:r>
        <w:rPr>
          <w:rFonts w:hint="eastAsia"/>
        </w:rPr>
        <w:t>（</w:t>
      </w:r>
      <w:r>
        <w:t>3</w:t>
      </w:r>
      <w:r>
        <w:rPr>
          <w:rFonts w:hint="eastAsia"/>
        </w:rPr>
        <w:t>）残疾人福利单位标准请参照《关于促进残疾人就业政府采购政策的通知》（财库〔</w:t>
      </w:r>
      <w:r>
        <w:t>2017</w:t>
      </w:r>
      <w:r>
        <w:rPr>
          <w:rFonts w:hint="eastAsia"/>
        </w:rPr>
        <w:t>〕</w:t>
      </w:r>
      <w:r>
        <w:t>141</w:t>
      </w:r>
      <w:r>
        <w:rPr>
          <w:rFonts w:hint="eastAsia"/>
        </w:rPr>
        <w:t>号）。</w:t>
      </w:r>
    </w:p>
    <w:p w14:paraId="46DB9CE5">
      <w:pPr>
        <w:spacing w:line="360" w:lineRule="auto"/>
        <w:ind w:firstLine="480" w:firstLineChars="200"/>
      </w:pPr>
      <w:r>
        <w:rPr>
          <w:rFonts w:hint="eastAsia"/>
        </w:rPr>
        <w:t>（三）监狱和戒毒企业价格扣除</w:t>
      </w:r>
    </w:p>
    <w:p w14:paraId="5B38E696">
      <w:pPr>
        <w:spacing w:line="360" w:lineRule="auto"/>
        <w:ind w:firstLine="480" w:firstLineChars="200"/>
      </w:pPr>
      <w:r>
        <w:rPr>
          <w:rFonts w:hint="eastAsia"/>
        </w:rPr>
        <w:t>（</w:t>
      </w:r>
      <w:r>
        <w:t>1</w:t>
      </w:r>
      <w:r>
        <w:rPr>
          <w:rFonts w:hint="eastAsia"/>
        </w:rPr>
        <w:t>）本项目对监狱和戒毒企业（简称监狱企业）视同小型、微型企业，给予</w:t>
      </w:r>
      <w:r>
        <w:t>10%</w:t>
      </w:r>
      <w:r>
        <w:rPr>
          <w:rFonts w:hint="eastAsia"/>
        </w:rPr>
        <w:t>的价格扣除，用扣除后的价格参与评审。</w:t>
      </w:r>
    </w:p>
    <w:p w14:paraId="67628A62">
      <w:pPr>
        <w:spacing w:line="360" w:lineRule="auto"/>
        <w:ind w:firstLine="480" w:firstLineChars="200"/>
      </w:pPr>
      <w:r>
        <w:rPr>
          <w:rFonts w:hint="eastAsia"/>
        </w:rPr>
        <w:t>（</w:t>
      </w:r>
      <w:r>
        <w:t>2</w:t>
      </w:r>
      <w:r>
        <w:rPr>
          <w:rFonts w:hint="eastAsia"/>
        </w:rPr>
        <w:t>）监狱企业参加政府采购活动时，需提供由省级以上监狱管理局、戒毒管理局</w:t>
      </w:r>
      <w:r>
        <w:t>(</w:t>
      </w:r>
      <w:r>
        <w:rPr>
          <w:rFonts w:hint="eastAsia"/>
        </w:rPr>
        <w:t>含新疆生产建设兵团</w:t>
      </w:r>
      <w:r>
        <w:t>)</w:t>
      </w:r>
      <w:r>
        <w:rPr>
          <w:rFonts w:hint="eastAsia"/>
        </w:rPr>
        <w:t>出具的属于监狱企业的证明文件。供应商如不提供上述证明文件，价格将不做相应扣除。</w:t>
      </w:r>
    </w:p>
    <w:p w14:paraId="13B6B12F">
      <w:pPr>
        <w:spacing w:line="360" w:lineRule="auto"/>
        <w:ind w:firstLine="480" w:firstLineChars="200"/>
      </w:pPr>
      <w:r>
        <w:rPr>
          <w:rFonts w:hint="eastAsia"/>
        </w:rPr>
        <w:t>（</w:t>
      </w:r>
      <w:r>
        <w:t>3</w:t>
      </w:r>
      <w:r>
        <w:rPr>
          <w:rFonts w:hint="eastAsia"/>
        </w:rPr>
        <w:t>）监狱企业标准请参照《关于政府采购支持监狱企业发展有关问题的通知》（财库</w:t>
      </w:r>
      <w:r>
        <w:t>[2014]68</w:t>
      </w:r>
      <w:r>
        <w:rPr>
          <w:rFonts w:hint="eastAsia"/>
        </w:rPr>
        <w:t>号）。</w:t>
      </w:r>
    </w:p>
    <w:p w14:paraId="63B7498B">
      <w:pPr>
        <w:spacing w:line="360" w:lineRule="auto"/>
        <w:ind w:firstLine="480" w:firstLineChars="200"/>
      </w:pPr>
      <w:r>
        <w:rPr>
          <w:rFonts w:hint="eastAsia"/>
        </w:rPr>
        <w:t>（四）残疾人福利单位、监狱企业属于小型、微型企业的，不重复享受政策。</w:t>
      </w:r>
    </w:p>
    <w:p w14:paraId="44D43C5A">
      <w:pPr>
        <w:spacing w:line="360" w:lineRule="auto"/>
        <w:ind w:firstLine="480" w:firstLineChars="200"/>
      </w:pPr>
      <w:r>
        <w:rPr>
          <w:rFonts w:hint="eastAsia"/>
        </w:rPr>
        <w:t>（五）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w:t>
      </w:r>
      <w:r>
        <w:t>30%</w:t>
      </w:r>
      <w:r>
        <w:rPr>
          <w:rFonts w:hint="eastAsia"/>
        </w:rPr>
        <w:t>以上的，给予联合体</w:t>
      </w:r>
      <w:r>
        <w:t>2%</w:t>
      </w:r>
      <w:r>
        <w:rPr>
          <w:rFonts w:hint="eastAsia"/>
        </w:rPr>
        <w:t>的价格扣除，用扣除后的价格参与评审。</w:t>
      </w:r>
    </w:p>
    <w:p w14:paraId="4D036389">
      <w:pPr>
        <w:spacing w:line="360" w:lineRule="auto"/>
        <w:ind w:firstLine="480" w:firstLineChars="200"/>
      </w:pPr>
      <w:r>
        <w:rPr>
          <w:rFonts w:hint="eastAsia"/>
        </w:rPr>
        <w:t>（六）联合体各方均为小型、微型企业（残疾人福利单位、监狱企业）的，联合体享受</w:t>
      </w:r>
      <w:r>
        <w:t>10%</w:t>
      </w:r>
      <w:r>
        <w:rPr>
          <w:rFonts w:hint="eastAsia"/>
        </w:rPr>
        <w:t>价格扣除，用扣除后的价格参与评审。</w:t>
      </w:r>
    </w:p>
    <w:p w14:paraId="5163E850">
      <w:pPr>
        <w:spacing w:line="360" w:lineRule="auto"/>
        <w:ind w:firstLine="480" w:firstLineChars="200"/>
      </w:pPr>
      <w:r>
        <w:rPr>
          <w:rFonts w:hint="eastAsia"/>
        </w:rPr>
        <w:t>（七）根据《江苏省政府采购信用管理暂行办法》的规定，对有失信行为的供应商将根据信用评价结果按规定予以扣分或价格加成。</w:t>
      </w:r>
    </w:p>
    <w:p w14:paraId="24498E27">
      <w:pPr>
        <w:pStyle w:val="2"/>
        <w:spacing w:line="360" w:lineRule="auto"/>
        <w:ind w:left="480" w:firstLine="480"/>
      </w:pPr>
    </w:p>
    <w:p w14:paraId="0AAEE7BD">
      <w:pPr>
        <w:spacing w:line="360" w:lineRule="auto"/>
        <w:ind w:firstLine="480" w:firstLineChars="200"/>
      </w:pPr>
      <w:r>
        <w:rPr>
          <w:rFonts w:hint="eastAsia"/>
        </w:rPr>
        <w:br w:type="page"/>
      </w:r>
    </w:p>
    <w:p w14:paraId="544B5441">
      <w:pPr>
        <w:pStyle w:val="54"/>
        <w:adjustRightInd w:val="0"/>
        <w:snapToGrid w:val="0"/>
        <w:spacing w:afterLines="0" w:line="360" w:lineRule="auto"/>
        <w:rPr>
          <w:rFonts w:ascii="宋体" w:hAnsi="宋体" w:eastAsia="宋体" w:cs="宋体"/>
          <w:sz w:val="72"/>
          <w:szCs w:val="21"/>
        </w:rPr>
      </w:pPr>
      <w:r>
        <w:rPr>
          <w:rFonts w:hint="eastAsia" w:ascii="宋体" w:hAnsi="宋体" w:eastAsia="宋体" w:cs="宋体"/>
        </w:rPr>
        <w:t>第五章  投标文件格式</w:t>
      </w:r>
    </w:p>
    <w:p w14:paraId="78720372">
      <w:pPr>
        <w:spacing w:line="360" w:lineRule="auto"/>
        <w:ind w:firstLine="480" w:firstLineChars="200"/>
      </w:pPr>
      <w:bookmarkStart w:id="73" w:name="_Hlt26955039"/>
      <w:bookmarkEnd w:id="73"/>
      <w:bookmarkStart w:id="74" w:name="_Hlt26671244"/>
      <w:bookmarkEnd w:id="74"/>
      <w:r>
        <w:rPr>
          <w:rFonts w:hint="eastAsia"/>
        </w:rPr>
        <w:t>1.供应商在制作电子响应文件时，如部分材料无法在投标文件制作工具中制作或上传，可将材料制作后上传在资审文件、技术标文件、经济标文件相对应的其它材料中。</w:t>
      </w:r>
    </w:p>
    <w:p w14:paraId="6848A764">
      <w:pPr>
        <w:spacing w:line="360" w:lineRule="auto"/>
        <w:ind w:firstLine="480" w:firstLineChars="200"/>
        <w:rPr>
          <w:rFonts w:cs="宋体"/>
        </w:rPr>
      </w:pPr>
      <w:r>
        <w:rPr>
          <w:rFonts w:hint="eastAsia"/>
        </w:rPr>
        <w:t>2.响应文件由资审文件、技术标文件、经济标文件三部分组成。请供应商根据本采购文件的要求在以上三部分中分别上传响应的材料,响应材料须为扫描件加盖电子签章或复印件加盖红色实物公章。</w:t>
      </w:r>
    </w:p>
    <w:p w14:paraId="09EE9E45">
      <w:pPr>
        <w:spacing w:line="360" w:lineRule="auto"/>
        <w:ind w:firstLine="480" w:firstLineChars="200"/>
        <w:rPr>
          <w:kern w:val="0"/>
          <w:lang w:val="zh-CN"/>
        </w:rPr>
      </w:pPr>
      <w:r>
        <w:rPr>
          <w:rFonts w:hint="eastAsia"/>
          <w:kern w:val="0"/>
          <w:lang w:val="zh-CN"/>
        </w:rPr>
        <w:t>一、资审</w:t>
      </w:r>
      <w:r>
        <w:rPr>
          <w:rFonts w:hint="eastAsia"/>
          <w:kern w:val="0"/>
        </w:rPr>
        <w:t>文件</w:t>
      </w:r>
      <w:r>
        <w:rPr>
          <w:rFonts w:hint="eastAsia"/>
          <w:kern w:val="0"/>
          <w:lang w:val="zh-CN"/>
        </w:rPr>
        <w:t>（不能出现</w:t>
      </w:r>
      <w:r>
        <w:rPr>
          <w:rFonts w:hint="eastAsia"/>
          <w:kern w:val="0"/>
        </w:rPr>
        <w:t>技术标、经济</w:t>
      </w:r>
      <w:r>
        <w:rPr>
          <w:rFonts w:hint="eastAsia"/>
          <w:kern w:val="0"/>
          <w:lang w:val="zh-CN"/>
        </w:rPr>
        <w:t>标）</w:t>
      </w:r>
    </w:p>
    <w:p w14:paraId="653EB1BC">
      <w:pPr>
        <w:spacing w:line="360" w:lineRule="auto"/>
        <w:ind w:firstLine="480" w:firstLineChars="200"/>
      </w:pPr>
      <w:r>
        <w:rPr>
          <w:rFonts w:hint="eastAsia"/>
          <w:lang w:val="zh-CN"/>
        </w:rPr>
        <w:t>1.</w:t>
      </w:r>
      <w:r>
        <w:rPr>
          <w:rFonts w:hint="eastAsia"/>
        </w:rPr>
        <w:t>投标人符合《政府采购法》第二十二条规定条件的声明函</w:t>
      </w:r>
      <w:r>
        <w:rPr>
          <w:rFonts w:hint="eastAsia"/>
          <w:lang w:val="zh-CN"/>
        </w:rPr>
        <w:t>（格式见附件1，加盖投标人电子签章或红色实物章印）；</w:t>
      </w:r>
    </w:p>
    <w:p w14:paraId="35867D0F">
      <w:pPr>
        <w:spacing w:line="360" w:lineRule="auto"/>
        <w:ind w:firstLine="480" w:firstLineChars="200"/>
      </w:pPr>
      <w:r>
        <w:rPr>
          <w:rFonts w:hint="eastAsia"/>
        </w:rPr>
        <w:t>2.投标函</w:t>
      </w:r>
      <w:r>
        <w:rPr>
          <w:rFonts w:hint="eastAsia"/>
          <w:lang w:val="zh-CN"/>
        </w:rPr>
        <w:t>（格式见附件</w:t>
      </w:r>
      <w:r>
        <w:rPr>
          <w:rFonts w:hint="eastAsia"/>
        </w:rPr>
        <w:t>2</w:t>
      </w:r>
      <w:r>
        <w:rPr>
          <w:rFonts w:hint="eastAsia"/>
          <w:lang w:val="zh-CN"/>
        </w:rPr>
        <w:t>，加盖投标人电子签章或红色实物章印）</w:t>
      </w:r>
    </w:p>
    <w:p w14:paraId="3B93526B">
      <w:pPr>
        <w:spacing w:line="360" w:lineRule="auto"/>
        <w:ind w:firstLine="480" w:firstLineChars="200"/>
      </w:pPr>
      <w:r>
        <w:rPr>
          <w:rFonts w:hint="eastAsia"/>
        </w:rPr>
        <w:t>3.法定代表人身份证明书</w:t>
      </w:r>
      <w:r>
        <w:rPr>
          <w:rFonts w:hint="eastAsia"/>
          <w:lang w:val="zh-CN"/>
        </w:rPr>
        <w:t>（格式见附件</w:t>
      </w:r>
      <w:r>
        <w:rPr>
          <w:rFonts w:hint="eastAsia"/>
        </w:rPr>
        <w:t>3</w:t>
      </w:r>
      <w:r>
        <w:rPr>
          <w:rFonts w:hint="eastAsia"/>
          <w:lang w:val="zh-CN"/>
        </w:rPr>
        <w:t>，加盖投标人电子签章或红色实物章印）</w:t>
      </w:r>
    </w:p>
    <w:p w14:paraId="74FB2E4A">
      <w:pPr>
        <w:spacing w:line="360" w:lineRule="auto"/>
        <w:ind w:firstLine="480" w:firstLineChars="200"/>
      </w:pPr>
      <w:r>
        <w:rPr>
          <w:rFonts w:hint="eastAsia"/>
        </w:rPr>
        <w:t>4.法人代表授权书</w:t>
      </w:r>
      <w:r>
        <w:rPr>
          <w:rFonts w:hint="eastAsia"/>
          <w:lang w:val="zh-CN"/>
        </w:rPr>
        <w:t>（格式见附件</w:t>
      </w:r>
      <w:r>
        <w:rPr>
          <w:rFonts w:hint="eastAsia"/>
        </w:rPr>
        <w:t>4</w:t>
      </w:r>
      <w:r>
        <w:rPr>
          <w:rFonts w:hint="eastAsia"/>
          <w:lang w:val="zh-CN"/>
        </w:rPr>
        <w:t>，加盖投标人电子签章或红色实物章印）</w:t>
      </w:r>
    </w:p>
    <w:p w14:paraId="59312A66">
      <w:pPr>
        <w:spacing w:line="360" w:lineRule="auto"/>
        <w:ind w:firstLine="480" w:firstLineChars="200"/>
      </w:pPr>
      <w:r>
        <w:rPr>
          <w:rFonts w:hint="eastAsia"/>
        </w:rPr>
        <w:t>5.公共资源交易投标信用承诺书（格式见附件5</w:t>
      </w:r>
      <w:r>
        <w:rPr>
          <w:rFonts w:hint="eastAsia"/>
          <w:lang w:val="zh-CN"/>
        </w:rPr>
        <w:t>，加盖投标人电子签章或红色实物章印</w:t>
      </w:r>
      <w:r>
        <w:rPr>
          <w:rFonts w:hint="eastAsia"/>
        </w:rPr>
        <w:t>）</w:t>
      </w:r>
    </w:p>
    <w:p w14:paraId="23A6F60A">
      <w:pPr>
        <w:spacing w:line="360" w:lineRule="auto"/>
        <w:ind w:firstLine="480" w:firstLineChars="200"/>
      </w:pPr>
      <w:r>
        <w:rPr>
          <w:rFonts w:hint="eastAsia"/>
          <w:bCs/>
        </w:rPr>
        <w:t>6.商务偏离表</w:t>
      </w:r>
      <w:r>
        <w:rPr>
          <w:rFonts w:hint="eastAsia"/>
        </w:rPr>
        <w:t>（格式见附件6</w:t>
      </w:r>
      <w:r>
        <w:rPr>
          <w:rFonts w:hint="eastAsia"/>
          <w:lang w:val="zh-CN"/>
        </w:rPr>
        <w:t>，加盖投标人电子签章或红色实物章印</w:t>
      </w:r>
      <w:r>
        <w:rPr>
          <w:rFonts w:hint="eastAsia"/>
        </w:rPr>
        <w:t>）</w:t>
      </w:r>
    </w:p>
    <w:p w14:paraId="335B19A5">
      <w:pPr>
        <w:pStyle w:val="11"/>
        <w:spacing w:line="360" w:lineRule="auto"/>
        <w:ind w:firstLine="480" w:firstLineChars="200"/>
        <w:rPr>
          <w:bCs/>
        </w:rPr>
      </w:pPr>
      <w:r>
        <w:rPr>
          <w:rFonts w:hint="eastAsia"/>
          <w:bCs/>
        </w:rPr>
        <w:t>7.技术偏离表</w:t>
      </w:r>
      <w:r>
        <w:rPr>
          <w:rFonts w:hint="eastAsia"/>
        </w:rPr>
        <w:t>（格式见附件7</w:t>
      </w:r>
      <w:r>
        <w:rPr>
          <w:rFonts w:hint="eastAsia"/>
          <w:lang w:val="zh-CN"/>
        </w:rPr>
        <w:t>，加盖投标人电子签章或红色实物章印</w:t>
      </w:r>
      <w:r>
        <w:rPr>
          <w:rFonts w:hint="eastAsia"/>
        </w:rPr>
        <w:t>）</w:t>
      </w:r>
    </w:p>
    <w:p w14:paraId="357C4257">
      <w:pPr>
        <w:spacing w:line="360" w:lineRule="auto"/>
        <w:ind w:firstLine="480" w:firstLineChars="200"/>
        <w:rPr>
          <w:lang w:val="zh-CN"/>
        </w:rPr>
      </w:pPr>
      <w:r>
        <w:rPr>
          <w:rFonts w:hint="eastAsia"/>
        </w:rPr>
        <w:t>8.企业法人</w:t>
      </w:r>
      <w:r>
        <w:rPr>
          <w:rFonts w:hint="eastAsia"/>
          <w:lang w:val="zh-CN"/>
        </w:rPr>
        <w:t>营业执照扫描件加盖电子签章或复印件加盖红色实物公章；</w:t>
      </w:r>
    </w:p>
    <w:p w14:paraId="01983F05">
      <w:pPr>
        <w:spacing w:line="360" w:lineRule="auto"/>
        <w:ind w:firstLine="480" w:firstLineChars="200"/>
        <w:rPr>
          <w:lang w:val="zh-CN"/>
        </w:rPr>
      </w:pPr>
      <w:r>
        <w:rPr>
          <w:rFonts w:hint="eastAsia"/>
        </w:rPr>
        <w:t>9.投标人为经销商的提供有医疗器械经营许可证或经营备案凭证（投标产品须在其经营范围内），同时提供由制造商出具的授权书；投标人为制造商的应具有医疗器械生产许可证（投标产品须在其生产范围内）；提供证书</w:t>
      </w:r>
      <w:r>
        <w:rPr>
          <w:rFonts w:hint="eastAsia"/>
          <w:lang w:val="zh-CN"/>
        </w:rPr>
        <w:t>描件加盖电子签章或复印件加盖红色实物公章</w:t>
      </w:r>
    </w:p>
    <w:p w14:paraId="175A1500">
      <w:pPr>
        <w:spacing w:line="360" w:lineRule="auto"/>
        <w:ind w:firstLine="480" w:firstLineChars="200"/>
        <w:rPr>
          <w:kern w:val="0"/>
          <w:lang w:val="zh-CN"/>
        </w:rPr>
      </w:pPr>
      <w:r>
        <w:rPr>
          <w:rFonts w:hint="eastAsia"/>
          <w:kern w:val="0"/>
        </w:rPr>
        <w:t>二、技术标</w:t>
      </w:r>
      <w:r>
        <w:rPr>
          <w:rFonts w:hint="eastAsia"/>
          <w:kern w:val="0"/>
          <w:lang w:val="zh-CN"/>
        </w:rPr>
        <w:t>（不能出现</w:t>
      </w:r>
      <w:r>
        <w:rPr>
          <w:rFonts w:hint="eastAsia"/>
          <w:kern w:val="0"/>
        </w:rPr>
        <w:t>经济</w:t>
      </w:r>
      <w:r>
        <w:rPr>
          <w:rFonts w:hint="eastAsia"/>
          <w:kern w:val="0"/>
          <w:lang w:val="zh-CN"/>
        </w:rPr>
        <w:t>标）</w:t>
      </w:r>
    </w:p>
    <w:p w14:paraId="54C93656">
      <w:pPr>
        <w:spacing w:line="360" w:lineRule="auto"/>
        <w:ind w:firstLine="480" w:firstLineChars="200"/>
        <w:rPr>
          <w:lang w:val="zh-CN"/>
        </w:rPr>
      </w:pPr>
      <w:r>
        <w:rPr>
          <w:rFonts w:hint="eastAsia"/>
        </w:rPr>
        <w:t xml:space="preserve"> 根据</w:t>
      </w:r>
      <w:r>
        <w:rPr>
          <w:rFonts w:hint="eastAsia"/>
          <w:lang w:val="zh-CN"/>
        </w:rPr>
        <w:t>技术评分标准中须提供的相关得分佐证材料：</w:t>
      </w:r>
    </w:p>
    <w:p w14:paraId="3A37F3E2">
      <w:pPr>
        <w:spacing w:line="360" w:lineRule="auto"/>
        <w:ind w:firstLine="480" w:firstLineChars="200"/>
        <w:rPr>
          <w:lang w:val="zh-CN"/>
        </w:rPr>
      </w:pPr>
      <w:r>
        <w:rPr>
          <w:rFonts w:hint="eastAsia"/>
        </w:rPr>
        <w:t>1.技术部分</w:t>
      </w:r>
      <w:r>
        <w:rPr>
          <w:rFonts w:hint="eastAsia"/>
          <w:lang w:val="zh-CN"/>
        </w:rPr>
        <w:t>：（</w:t>
      </w:r>
      <w:r>
        <w:rPr>
          <w:rFonts w:hint="eastAsia"/>
        </w:rPr>
        <w:t>本项内容上传至技术标--设计方案部分</w:t>
      </w:r>
      <w:r>
        <w:rPr>
          <w:rFonts w:hint="eastAsia"/>
          <w:lang w:val="zh-CN"/>
        </w:rPr>
        <w:t>）</w:t>
      </w:r>
    </w:p>
    <w:p w14:paraId="3D8AD112">
      <w:pPr>
        <w:spacing w:line="360" w:lineRule="auto"/>
        <w:ind w:firstLine="480" w:firstLineChars="200"/>
        <w:rPr>
          <w:lang w:val="zh-CN"/>
        </w:rPr>
      </w:pPr>
      <w:r>
        <w:rPr>
          <w:rFonts w:hint="eastAsia"/>
          <w:lang w:val="zh-CN"/>
        </w:rPr>
        <w:t>（</w:t>
      </w:r>
      <w:r>
        <w:rPr>
          <w:rFonts w:hint="eastAsia"/>
        </w:rPr>
        <w:t>1</w:t>
      </w:r>
      <w:r>
        <w:rPr>
          <w:rFonts w:hint="eastAsia"/>
          <w:lang w:val="zh-CN"/>
        </w:rPr>
        <w:t>）技术参数响应；</w:t>
      </w:r>
    </w:p>
    <w:p w14:paraId="5D0BA870">
      <w:pPr>
        <w:spacing w:line="360" w:lineRule="auto"/>
        <w:ind w:firstLine="480" w:firstLineChars="200"/>
        <w:rPr>
          <w:lang w:val="zh-CN"/>
        </w:rPr>
      </w:pPr>
      <w:r>
        <w:rPr>
          <w:rFonts w:hint="eastAsia"/>
          <w:lang w:val="zh-CN"/>
        </w:rPr>
        <w:t>（</w:t>
      </w:r>
      <w:r>
        <w:rPr>
          <w:rFonts w:hint="eastAsia"/>
        </w:rPr>
        <w:t>2</w:t>
      </w:r>
      <w:r>
        <w:rPr>
          <w:rFonts w:hint="eastAsia"/>
          <w:lang w:val="zh-CN"/>
        </w:rPr>
        <w:t>）安装、调试、验收；</w:t>
      </w:r>
    </w:p>
    <w:p w14:paraId="5E66DA91">
      <w:pPr>
        <w:spacing w:line="360" w:lineRule="auto"/>
        <w:ind w:firstLine="480" w:firstLineChars="200"/>
        <w:rPr>
          <w:lang w:val="zh-CN"/>
        </w:rPr>
      </w:pPr>
      <w:r>
        <w:rPr>
          <w:rFonts w:hint="eastAsia"/>
          <w:lang w:val="zh-CN"/>
        </w:rPr>
        <w:t>（</w:t>
      </w:r>
      <w:r>
        <w:rPr>
          <w:rFonts w:hint="eastAsia"/>
        </w:rPr>
        <w:t>3</w:t>
      </w:r>
      <w:r>
        <w:rPr>
          <w:rFonts w:hint="eastAsia"/>
          <w:lang w:val="zh-CN"/>
        </w:rPr>
        <w:t>）培训方案</w:t>
      </w:r>
    </w:p>
    <w:p w14:paraId="6FC924B5">
      <w:pPr>
        <w:spacing w:line="360" w:lineRule="auto"/>
        <w:ind w:firstLine="480" w:firstLineChars="200"/>
        <w:rPr>
          <w:lang w:val="zh-CN"/>
        </w:rPr>
      </w:pPr>
      <w:r>
        <w:rPr>
          <w:rFonts w:hint="eastAsia"/>
          <w:lang w:val="zh-CN"/>
        </w:rPr>
        <w:t>（</w:t>
      </w:r>
      <w:r>
        <w:rPr>
          <w:rFonts w:hint="eastAsia"/>
        </w:rPr>
        <w:t>4</w:t>
      </w:r>
      <w:r>
        <w:rPr>
          <w:rFonts w:hint="eastAsia"/>
          <w:lang w:val="zh-CN"/>
        </w:rPr>
        <w:t>）应急及售后服务方案；</w:t>
      </w:r>
    </w:p>
    <w:p w14:paraId="624684BC">
      <w:pPr>
        <w:spacing w:line="360" w:lineRule="auto"/>
        <w:ind w:firstLine="480" w:firstLineChars="200"/>
      </w:pPr>
      <w:r>
        <w:rPr>
          <w:rFonts w:hint="eastAsia"/>
        </w:rPr>
        <w:t>2.商务部分</w:t>
      </w:r>
      <w:r>
        <w:rPr>
          <w:rFonts w:hint="eastAsia"/>
          <w:lang w:val="zh-CN"/>
        </w:rPr>
        <w:t>（</w:t>
      </w:r>
      <w:r>
        <w:rPr>
          <w:rFonts w:hint="eastAsia"/>
        </w:rPr>
        <w:t>本项内容上传至技术标--资信业绩部分</w:t>
      </w:r>
      <w:r>
        <w:rPr>
          <w:rFonts w:hint="eastAsia"/>
          <w:lang w:val="zh-CN"/>
        </w:rPr>
        <w:t>）</w:t>
      </w:r>
    </w:p>
    <w:p w14:paraId="38129049">
      <w:pPr>
        <w:spacing w:line="360" w:lineRule="auto"/>
        <w:ind w:firstLine="480" w:firstLineChars="200"/>
        <w:rPr>
          <w:lang w:val="zh-CN"/>
        </w:rPr>
      </w:pPr>
      <w:r>
        <w:rPr>
          <w:rFonts w:hint="eastAsia"/>
          <w:lang w:val="zh-CN"/>
        </w:rPr>
        <w:t>（</w:t>
      </w:r>
      <w:r>
        <w:rPr>
          <w:rFonts w:hint="eastAsia"/>
        </w:rPr>
        <w:t>1</w:t>
      </w:r>
      <w:r>
        <w:rPr>
          <w:rFonts w:hint="eastAsia"/>
          <w:lang w:val="zh-CN"/>
        </w:rPr>
        <w:t>）质保期；</w:t>
      </w:r>
    </w:p>
    <w:p w14:paraId="1032ACF1">
      <w:pPr>
        <w:spacing w:line="360" w:lineRule="auto"/>
        <w:ind w:firstLine="480" w:firstLineChars="200"/>
        <w:rPr>
          <w:lang w:val="zh-CN"/>
        </w:rPr>
      </w:pPr>
      <w:r>
        <w:rPr>
          <w:rFonts w:hint="eastAsia"/>
          <w:lang w:val="zh-CN"/>
        </w:rPr>
        <w:t>（</w:t>
      </w:r>
      <w:r>
        <w:rPr>
          <w:rFonts w:hint="eastAsia"/>
        </w:rPr>
        <w:t>2</w:t>
      </w:r>
      <w:r>
        <w:rPr>
          <w:rFonts w:hint="eastAsia"/>
          <w:lang w:val="zh-CN"/>
        </w:rPr>
        <w:t>）企业业绩</w:t>
      </w:r>
    </w:p>
    <w:p w14:paraId="5F5E0D65">
      <w:pPr>
        <w:spacing w:line="360" w:lineRule="auto"/>
        <w:ind w:firstLine="480" w:firstLineChars="200"/>
      </w:pPr>
      <w:r>
        <w:rPr>
          <w:rFonts w:hint="eastAsia"/>
          <w:lang w:val="zh-CN"/>
        </w:rPr>
        <w:t>（</w:t>
      </w:r>
      <w:r>
        <w:rPr>
          <w:rFonts w:hint="eastAsia"/>
        </w:rPr>
        <w:t>3</w:t>
      </w:r>
      <w:r>
        <w:rPr>
          <w:rFonts w:hint="eastAsia"/>
          <w:lang w:val="zh-CN"/>
        </w:rPr>
        <w:t>）</w:t>
      </w:r>
      <w:r>
        <w:rPr>
          <w:rFonts w:hint="eastAsia"/>
        </w:rPr>
        <w:t>节能及环境标志产品</w:t>
      </w:r>
    </w:p>
    <w:p w14:paraId="1A404892">
      <w:pPr>
        <w:spacing w:line="360" w:lineRule="auto"/>
        <w:ind w:firstLine="480" w:firstLineChars="200"/>
      </w:pPr>
      <w:r>
        <w:rPr>
          <w:rFonts w:hint="eastAsia"/>
        </w:rPr>
        <w:t>3</w:t>
      </w:r>
      <w:r>
        <w:rPr>
          <w:rFonts w:hint="eastAsia"/>
          <w:lang w:val="zh-CN"/>
        </w:rPr>
        <w:t>.投标人认为需要提交的其他技术材料。</w:t>
      </w:r>
    </w:p>
    <w:p w14:paraId="1154E515">
      <w:pPr>
        <w:spacing w:line="360" w:lineRule="auto"/>
        <w:ind w:firstLine="480" w:firstLineChars="200"/>
        <w:rPr>
          <w:lang w:val="zh-CN"/>
        </w:rPr>
      </w:pPr>
      <w:r>
        <w:rPr>
          <w:rFonts w:hint="eastAsia"/>
        </w:rPr>
        <w:t xml:space="preserve">三 </w:t>
      </w:r>
      <w:r>
        <w:rPr>
          <w:rFonts w:hint="eastAsia"/>
          <w:lang w:val="zh-CN"/>
        </w:rPr>
        <w:t>、</w:t>
      </w:r>
      <w:r>
        <w:rPr>
          <w:rFonts w:hint="eastAsia"/>
        </w:rPr>
        <w:t>经济</w:t>
      </w:r>
      <w:r>
        <w:rPr>
          <w:rFonts w:hint="eastAsia"/>
          <w:lang w:val="zh-CN"/>
        </w:rPr>
        <w:t>标</w:t>
      </w:r>
    </w:p>
    <w:p w14:paraId="6267B87F">
      <w:pPr>
        <w:spacing w:line="360" w:lineRule="auto"/>
        <w:ind w:firstLine="480" w:firstLineChars="200"/>
        <w:rPr>
          <w:lang w:val="zh-CN"/>
        </w:rPr>
      </w:pPr>
      <w:r>
        <w:rPr>
          <w:rFonts w:hint="eastAsia"/>
          <w:lang w:val="zh-CN"/>
        </w:rPr>
        <w:t>1.</w:t>
      </w:r>
      <w:r>
        <w:rPr>
          <w:rFonts w:hint="eastAsia"/>
        </w:rPr>
        <w:t>开标一览表</w:t>
      </w:r>
      <w:r>
        <w:rPr>
          <w:rFonts w:hint="eastAsia"/>
          <w:lang w:val="zh-CN"/>
        </w:rPr>
        <w:t>（格式见附件</w:t>
      </w:r>
      <w:r>
        <w:rPr>
          <w:rFonts w:hint="eastAsia"/>
        </w:rPr>
        <w:t>8</w:t>
      </w:r>
      <w:r>
        <w:rPr>
          <w:rFonts w:hint="eastAsia"/>
          <w:lang w:val="zh-CN"/>
        </w:rPr>
        <w:t>，加盖投标人电子签章或红色实物章印）；</w:t>
      </w:r>
    </w:p>
    <w:p w14:paraId="76A08AAB">
      <w:pPr>
        <w:spacing w:line="360" w:lineRule="auto"/>
        <w:ind w:firstLine="480" w:firstLineChars="200"/>
        <w:rPr>
          <w:lang w:val="zh-CN"/>
        </w:rPr>
      </w:pPr>
      <w:r>
        <w:rPr>
          <w:rFonts w:hint="eastAsia"/>
          <w:lang w:val="zh-CN"/>
        </w:rPr>
        <w:t>2.投标报价清单一览表（格式见附件</w:t>
      </w:r>
      <w:r>
        <w:rPr>
          <w:rFonts w:hint="eastAsia"/>
        </w:rPr>
        <w:t>9</w:t>
      </w:r>
      <w:r>
        <w:rPr>
          <w:rFonts w:hint="eastAsia"/>
          <w:lang w:val="zh-CN"/>
        </w:rPr>
        <w:t>，加盖投标人电子签章或红色实物章印）</w:t>
      </w:r>
    </w:p>
    <w:p w14:paraId="34FBD188">
      <w:pPr>
        <w:spacing w:line="360" w:lineRule="auto"/>
        <w:ind w:firstLine="480" w:firstLineChars="200"/>
        <w:rPr>
          <w:lang w:val="zh-CN"/>
        </w:rPr>
      </w:pPr>
      <w:r>
        <w:rPr>
          <w:rFonts w:hint="eastAsia"/>
        </w:rPr>
        <w:t>3</w:t>
      </w:r>
      <w:r>
        <w:rPr>
          <w:rFonts w:hint="eastAsia"/>
          <w:lang w:val="zh-CN"/>
        </w:rPr>
        <w:t>.小型、微型企业声明函（如有）（格式见附件</w:t>
      </w:r>
      <w:r>
        <w:rPr>
          <w:rFonts w:hint="eastAsia"/>
        </w:rPr>
        <w:t>10</w:t>
      </w:r>
      <w:r>
        <w:rPr>
          <w:rFonts w:hint="eastAsia"/>
          <w:lang w:val="zh-CN"/>
        </w:rPr>
        <w:t>，加盖投标人电子签章或红色实物章印）</w:t>
      </w:r>
    </w:p>
    <w:p w14:paraId="21986B99">
      <w:pPr>
        <w:spacing w:line="360" w:lineRule="auto"/>
        <w:ind w:firstLine="480" w:firstLineChars="200"/>
        <w:rPr>
          <w:lang w:val="zh-CN"/>
        </w:rPr>
      </w:pPr>
      <w:r>
        <w:rPr>
          <w:rFonts w:hint="eastAsia"/>
        </w:rPr>
        <w:t>4</w:t>
      </w:r>
      <w:r>
        <w:rPr>
          <w:rFonts w:hint="eastAsia"/>
          <w:lang w:val="zh-CN"/>
        </w:rPr>
        <w:t>.残疾人福利性单位声明函（如有）（格式见附件</w:t>
      </w:r>
      <w:r>
        <w:rPr>
          <w:rFonts w:hint="eastAsia"/>
        </w:rPr>
        <w:t>11</w:t>
      </w:r>
      <w:r>
        <w:rPr>
          <w:rFonts w:hint="eastAsia"/>
          <w:lang w:val="zh-CN"/>
        </w:rPr>
        <w:t>，加盖投标人电子签章或红色实物章印）</w:t>
      </w:r>
    </w:p>
    <w:p w14:paraId="1A52F1EF">
      <w:pPr>
        <w:spacing w:line="360" w:lineRule="auto"/>
        <w:ind w:firstLine="480" w:firstLineChars="200"/>
        <w:rPr>
          <w:lang w:val="zh-CN"/>
        </w:rPr>
      </w:pPr>
      <w:r>
        <w:rPr>
          <w:rFonts w:hint="eastAsia"/>
        </w:rPr>
        <w:t>5</w:t>
      </w:r>
      <w:r>
        <w:rPr>
          <w:rFonts w:hint="eastAsia"/>
          <w:lang w:val="zh-CN"/>
        </w:rPr>
        <w:t>.监狱和戒毒企业证明材料（如有）（格式见附件</w:t>
      </w:r>
      <w:r>
        <w:rPr>
          <w:rFonts w:hint="eastAsia"/>
        </w:rPr>
        <w:t>12</w:t>
      </w:r>
      <w:r>
        <w:rPr>
          <w:rFonts w:hint="eastAsia"/>
          <w:lang w:val="zh-CN"/>
        </w:rPr>
        <w:t>，加盖投标人电子签章或红色实物章印）</w:t>
      </w:r>
    </w:p>
    <w:p w14:paraId="4A6EC146">
      <w:pPr>
        <w:pStyle w:val="11"/>
        <w:spacing w:line="360" w:lineRule="auto"/>
        <w:ind w:firstLine="480" w:firstLineChars="200"/>
      </w:pPr>
    </w:p>
    <w:p w14:paraId="3150F61E"/>
    <w:p w14:paraId="3B9BEB48"/>
    <w:p w14:paraId="66B15841"/>
    <w:p w14:paraId="74BC65DC"/>
    <w:p w14:paraId="3324FEAA"/>
    <w:p w14:paraId="1B76AB30"/>
    <w:p w14:paraId="77CE3CED"/>
    <w:p w14:paraId="78F9CFDE"/>
    <w:p w14:paraId="6464AAB7">
      <w:pPr>
        <w:pStyle w:val="2"/>
        <w:ind w:left="480" w:firstLine="480"/>
      </w:pPr>
    </w:p>
    <w:p w14:paraId="64F86160"/>
    <w:p w14:paraId="2FBAC17C">
      <w:pPr>
        <w:pStyle w:val="2"/>
        <w:ind w:left="480" w:firstLine="480"/>
      </w:pPr>
    </w:p>
    <w:p w14:paraId="5E0CAEF1"/>
    <w:p w14:paraId="48563D4B"/>
    <w:p w14:paraId="1C5E110B"/>
    <w:p w14:paraId="7FCF2C64"/>
    <w:p w14:paraId="18A80E54"/>
    <w:p w14:paraId="79F28477">
      <w:r>
        <w:rPr>
          <w:rFonts w:hint="eastAsia"/>
        </w:rPr>
        <w:br w:type="page"/>
      </w:r>
    </w:p>
    <w:p w14:paraId="31AD104D">
      <w:pPr>
        <w:ind w:firstLine="161"/>
        <w:rPr>
          <w:rFonts w:ascii="宋体" w:cs="宋体"/>
        </w:rPr>
      </w:pPr>
      <w:r>
        <w:rPr>
          <w:rFonts w:hint="eastAsia" w:ascii="宋体" w:cs="宋体"/>
          <w:b/>
          <w:sz w:val="32"/>
          <w:szCs w:val="32"/>
        </w:rPr>
        <w:t>附件1：</w:t>
      </w:r>
    </w:p>
    <w:p w14:paraId="0ABA938A">
      <w:pPr>
        <w:pStyle w:val="11"/>
        <w:rPr>
          <w:rFonts w:ascii="宋体" w:cs="宋体"/>
        </w:rPr>
      </w:pPr>
    </w:p>
    <w:p w14:paraId="5DFAA3F9">
      <w:pPr>
        <w:rPr>
          <w:rFonts w:ascii="宋体" w:cs="宋体"/>
        </w:rPr>
      </w:pPr>
    </w:p>
    <w:p w14:paraId="7B954220">
      <w:pPr>
        <w:pStyle w:val="11"/>
        <w:rPr>
          <w:rFonts w:ascii="宋体" w:cs="宋体"/>
        </w:rPr>
      </w:pPr>
    </w:p>
    <w:p w14:paraId="49C6F983">
      <w:pPr>
        <w:ind w:firstLine="151"/>
        <w:jc w:val="center"/>
        <w:rPr>
          <w:rFonts w:ascii="宋体" w:cs="宋体"/>
          <w:b/>
          <w:sz w:val="30"/>
          <w:szCs w:val="30"/>
        </w:rPr>
      </w:pPr>
      <w:r>
        <w:rPr>
          <w:rFonts w:hint="eastAsia" w:ascii="宋体" w:cs="宋体"/>
          <w:b/>
          <w:sz w:val="30"/>
          <w:szCs w:val="30"/>
        </w:rPr>
        <w:t>投标人符合《政府采购法》第二十二条规定条件的声明函</w:t>
      </w:r>
    </w:p>
    <w:p w14:paraId="03051923">
      <w:pPr>
        <w:spacing w:line="460" w:lineRule="exact"/>
        <w:ind w:firstLine="221"/>
        <w:rPr>
          <w:rFonts w:ascii="宋体" w:cs="宋体"/>
          <w:b/>
          <w:bCs/>
          <w:sz w:val="44"/>
          <w:szCs w:val="44"/>
        </w:rPr>
      </w:pPr>
    </w:p>
    <w:p w14:paraId="7C271E3E">
      <w:pPr>
        <w:spacing w:line="520" w:lineRule="exact"/>
        <w:ind w:firstLine="480" w:firstLineChars="200"/>
        <w:rPr>
          <w:rFonts w:ascii="宋体" w:cs="宋体"/>
          <w:b/>
          <w:bCs/>
        </w:rPr>
      </w:pPr>
      <w:r>
        <w:rPr>
          <w:rFonts w:hint="eastAsia" w:ascii="宋体" w:cs="宋体"/>
          <w:bCs/>
        </w:rPr>
        <w:t>我单位参加</w:t>
      </w:r>
      <w:r>
        <w:rPr>
          <w:rFonts w:hint="eastAsia" w:ascii="宋体" w:cs="宋体"/>
          <w:bCs/>
          <w:szCs w:val="21"/>
        </w:rPr>
        <w:t>（项目名称）投标活动。针对《中华人民共和国政府采购法》第二十二条规定做出如下声明：</w:t>
      </w:r>
    </w:p>
    <w:p w14:paraId="1D68BD64">
      <w:pPr>
        <w:spacing w:line="520" w:lineRule="exact"/>
        <w:ind w:firstLine="120"/>
        <w:rPr>
          <w:rFonts w:ascii="宋体" w:cs="宋体"/>
        </w:rPr>
      </w:pPr>
      <w:r>
        <w:rPr>
          <w:rFonts w:hint="eastAsia" w:ascii="宋体" w:cs="宋体"/>
          <w:bCs/>
          <w:szCs w:val="21"/>
        </w:rPr>
        <w:t>1.我单位具有独立承担民事责任的能力；</w:t>
      </w:r>
    </w:p>
    <w:p w14:paraId="56DE27D4">
      <w:pPr>
        <w:spacing w:line="520" w:lineRule="exact"/>
        <w:ind w:firstLine="120"/>
        <w:rPr>
          <w:rFonts w:ascii="宋体" w:cs="宋体"/>
        </w:rPr>
      </w:pPr>
      <w:r>
        <w:rPr>
          <w:rFonts w:hint="eastAsia" w:ascii="宋体" w:cs="宋体"/>
        </w:rPr>
        <w:t>2.我单位具有良好的商业信誉和健全的财务会计制度；</w:t>
      </w:r>
    </w:p>
    <w:p w14:paraId="7E109085">
      <w:pPr>
        <w:spacing w:line="520" w:lineRule="exact"/>
        <w:ind w:firstLine="120"/>
        <w:rPr>
          <w:rFonts w:ascii="宋体" w:cs="宋体"/>
        </w:rPr>
      </w:pPr>
      <w:r>
        <w:rPr>
          <w:rFonts w:hint="eastAsia" w:ascii="宋体" w:cs="宋体"/>
        </w:rPr>
        <w:t>3.我单位具有履行合同所必需的设备和专业技术能力；</w:t>
      </w:r>
    </w:p>
    <w:p w14:paraId="11E0ED1F">
      <w:pPr>
        <w:spacing w:line="520" w:lineRule="exact"/>
        <w:ind w:firstLine="120"/>
        <w:rPr>
          <w:rFonts w:ascii="宋体" w:cs="宋体"/>
        </w:rPr>
      </w:pPr>
      <w:r>
        <w:rPr>
          <w:rFonts w:hint="eastAsia" w:ascii="宋体" w:cs="宋体"/>
        </w:rPr>
        <w:t>4.我单位有依法缴纳税收和社会保障资金的良好记录；</w:t>
      </w:r>
    </w:p>
    <w:p w14:paraId="1B3A3B4D">
      <w:pPr>
        <w:spacing w:line="520" w:lineRule="exact"/>
        <w:ind w:firstLine="120"/>
        <w:rPr>
          <w:rFonts w:ascii="宋体" w:cs="宋体"/>
        </w:rPr>
      </w:pPr>
      <w:r>
        <w:rPr>
          <w:rFonts w:hint="eastAsia" w:ascii="宋体" w:cs="宋体"/>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0804B9B">
      <w:pPr>
        <w:spacing w:line="520" w:lineRule="exact"/>
        <w:ind w:firstLine="120"/>
        <w:rPr>
          <w:rFonts w:ascii="宋体" w:cs="宋体"/>
        </w:rPr>
      </w:pPr>
      <w:r>
        <w:rPr>
          <w:rFonts w:hint="eastAsia" w:ascii="宋体" w:cs="宋体"/>
        </w:rPr>
        <w:t>6.我单位满足法律、行政法规规定的其他条件。</w:t>
      </w:r>
    </w:p>
    <w:p w14:paraId="29B4630D">
      <w:pPr>
        <w:spacing w:line="500" w:lineRule="exact"/>
        <w:ind w:firstLine="120"/>
        <w:rPr>
          <w:rFonts w:ascii="宋体" w:cs="宋体"/>
        </w:rPr>
      </w:pPr>
    </w:p>
    <w:p w14:paraId="0EE93575">
      <w:pPr>
        <w:spacing w:line="500" w:lineRule="exact"/>
        <w:rPr>
          <w:rFonts w:ascii="宋体" w:cs="宋体"/>
        </w:rPr>
      </w:pPr>
    </w:p>
    <w:p w14:paraId="112ED8BE">
      <w:pPr>
        <w:spacing w:line="500" w:lineRule="exact"/>
        <w:rPr>
          <w:rFonts w:ascii="宋体" w:cs="宋体"/>
          <w:bCs/>
          <w:szCs w:val="21"/>
        </w:rPr>
      </w:pPr>
    </w:p>
    <w:p w14:paraId="5BE73285">
      <w:pPr>
        <w:spacing w:line="500" w:lineRule="exact"/>
        <w:rPr>
          <w:rFonts w:ascii="宋体" w:cs="宋体"/>
          <w:bCs/>
          <w:szCs w:val="21"/>
        </w:rPr>
      </w:pPr>
    </w:p>
    <w:p w14:paraId="13D11825">
      <w:pPr>
        <w:spacing w:line="500" w:lineRule="exact"/>
        <w:rPr>
          <w:rFonts w:ascii="宋体" w:cs="宋体"/>
          <w:bCs/>
          <w:szCs w:val="21"/>
        </w:rPr>
      </w:pPr>
    </w:p>
    <w:p w14:paraId="71BA0B11">
      <w:pPr>
        <w:spacing w:line="460" w:lineRule="exact"/>
        <w:jc w:val="center"/>
        <w:rPr>
          <w:rFonts w:ascii="宋体" w:cs="宋体"/>
          <w:bCs/>
          <w:szCs w:val="21"/>
        </w:rPr>
      </w:pPr>
      <w:r>
        <w:rPr>
          <w:rFonts w:hint="eastAsia" w:ascii="宋体" w:cs="宋体"/>
          <w:bCs/>
          <w:szCs w:val="21"/>
        </w:rPr>
        <w:t xml:space="preserve">                                             承诺人名称（公章）：</w:t>
      </w:r>
    </w:p>
    <w:p w14:paraId="64890F06">
      <w:pPr>
        <w:spacing w:line="460" w:lineRule="exact"/>
        <w:jc w:val="right"/>
        <w:rPr>
          <w:rFonts w:ascii="宋体" w:cs="宋体"/>
          <w:bCs/>
          <w:szCs w:val="21"/>
        </w:rPr>
      </w:pPr>
    </w:p>
    <w:p w14:paraId="18D12098">
      <w:pPr>
        <w:wordWrap w:val="0"/>
        <w:spacing w:line="460" w:lineRule="exact"/>
        <w:jc w:val="right"/>
        <w:rPr>
          <w:rFonts w:ascii="宋体" w:cs="宋体"/>
          <w:bCs/>
          <w:szCs w:val="21"/>
        </w:rPr>
      </w:pPr>
      <w:r>
        <w:rPr>
          <w:rFonts w:hint="eastAsia" w:ascii="宋体" w:cs="宋体"/>
          <w:bCs/>
          <w:szCs w:val="21"/>
        </w:rPr>
        <w:t xml:space="preserve">                                 日期：年月日</w:t>
      </w:r>
    </w:p>
    <w:p w14:paraId="4C44F1C3">
      <w:pPr>
        <w:snapToGrid w:val="0"/>
        <w:spacing w:line="400" w:lineRule="exact"/>
        <w:ind w:firstLine="141"/>
        <w:rPr>
          <w:rFonts w:ascii="宋体" w:cs="宋体"/>
          <w:b/>
          <w:kern w:val="0"/>
          <w:sz w:val="28"/>
          <w:szCs w:val="28"/>
          <w:lang w:val="zh-CN"/>
        </w:rPr>
      </w:pPr>
    </w:p>
    <w:p w14:paraId="7C1FF863">
      <w:pPr>
        <w:ind w:firstLine="141"/>
        <w:rPr>
          <w:rFonts w:ascii="宋体" w:cs="宋体"/>
        </w:rPr>
      </w:pPr>
      <w:r>
        <w:rPr>
          <w:rFonts w:hint="eastAsia" w:ascii="宋体" w:cs="宋体"/>
          <w:b/>
          <w:kern w:val="0"/>
          <w:sz w:val="28"/>
          <w:szCs w:val="28"/>
          <w:lang w:val="zh-CN"/>
        </w:rPr>
        <w:br w:type="page"/>
      </w:r>
    </w:p>
    <w:p w14:paraId="497E4B91">
      <w:pPr>
        <w:pStyle w:val="11"/>
        <w:ind w:firstLine="141"/>
        <w:rPr>
          <w:rFonts w:ascii="宋体" w:cs="宋体"/>
          <w:sz w:val="28"/>
          <w:szCs w:val="28"/>
        </w:rPr>
      </w:pPr>
      <w:r>
        <w:rPr>
          <w:rFonts w:hint="eastAsia" w:ascii="宋体" w:cs="宋体"/>
          <w:b/>
          <w:sz w:val="28"/>
          <w:szCs w:val="28"/>
        </w:rPr>
        <w:t>附件2：</w:t>
      </w:r>
    </w:p>
    <w:p w14:paraId="730A563A">
      <w:pPr>
        <w:spacing w:line="480" w:lineRule="exact"/>
        <w:ind w:firstLine="4338" w:firstLineChars="1500"/>
        <w:outlineLvl w:val="1"/>
        <w:rPr>
          <w:rFonts w:ascii="宋体" w:cs="宋体"/>
        </w:rPr>
      </w:pPr>
      <w:r>
        <w:rPr>
          <w:rFonts w:hint="eastAsia" w:ascii="宋体" w:cs="宋体"/>
          <w:b/>
          <w:spacing w:val="-6"/>
          <w:sz w:val="30"/>
          <w:szCs w:val="30"/>
        </w:rPr>
        <w:t xml:space="preserve">投 标 函  </w:t>
      </w:r>
    </w:p>
    <w:p w14:paraId="700B76A1">
      <w:pPr>
        <w:pStyle w:val="55"/>
        <w:spacing w:before="0" w:after="0" w:line="420" w:lineRule="exact"/>
        <w:ind w:firstLine="105"/>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如东县洋口镇中心卫生院</w:t>
      </w:r>
    </w:p>
    <w:p w14:paraId="61C308BB">
      <w:pPr>
        <w:pStyle w:val="55"/>
        <w:spacing w:before="0" w:after="0" w:line="420" w:lineRule="exact"/>
        <w:ind w:firstLine="105"/>
        <w:rPr>
          <w:rFonts w:ascii="宋体" w:hAnsi="宋体" w:cs="宋体"/>
          <w:sz w:val="21"/>
          <w:szCs w:val="21"/>
        </w:rPr>
      </w:pPr>
      <w:r>
        <w:rPr>
          <w:rFonts w:hint="eastAsia" w:ascii="宋体" w:hAnsi="宋体" w:cs="宋体"/>
          <w:sz w:val="21"/>
          <w:szCs w:val="21"/>
        </w:rPr>
        <w:t>根据贵方的招标文件，正式授权(姓名和职务)代表我方（投标人的名称），全权处理本次项目投标的有关事宜。我方现就有关事项郑重承诺如下：</w:t>
      </w:r>
    </w:p>
    <w:p w14:paraId="3B5856D8">
      <w:pPr>
        <w:pStyle w:val="55"/>
        <w:spacing w:before="0" w:after="0" w:line="420" w:lineRule="exact"/>
        <w:ind w:firstLine="105"/>
        <w:rPr>
          <w:rFonts w:ascii="宋体" w:hAnsi="宋体" w:cs="宋体"/>
          <w:sz w:val="21"/>
          <w:szCs w:val="21"/>
        </w:rPr>
      </w:pPr>
      <w:r>
        <w:rPr>
          <w:rFonts w:hint="eastAsia" w:ascii="宋体" w:hAnsi="宋体" w:cs="宋体"/>
          <w:sz w:val="21"/>
          <w:szCs w:val="21"/>
        </w:rPr>
        <w:t>1.按招标文件规定的各项要求，向采购人提供所需货物与服务。</w:t>
      </w:r>
    </w:p>
    <w:p w14:paraId="2D8668AE">
      <w:pPr>
        <w:pStyle w:val="55"/>
        <w:spacing w:before="0" w:after="0" w:line="420" w:lineRule="exact"/>
        <w:ind w:firstLine="105"/>
        <w:rPr>
          <w:rFonts w:ascii="宋体" w:hAnsi="宋体" w:cs="宋体"/>
          <w:sz w:val="21"/>
          <w:szCs w:val="21"/>
        </w:rPr>
      </w:pPr>
      <w:r>
        <w:rPr>
          <w:rFonts w:hint="eastAsia" w:ascii="宋体" w:hAnsi="宋体" w:cs="宋体"/>
          <w:sz w:val="21"/>
          <w:szCs w:val="21"/>
        </w:rPr>
        <w:t>2.我方完全理解报价最低并非意味着必定获得中标的资格。</w:t>
      </w:r>
    </w:p>
    <w:p w14:paraId="46192D0B">
      <w:pPr>
        <w:pStyle w:val="55"/>
        <w:spacing w:before="0" w:after="0" w:line="420" w:lineRule="exact"/>
        <w:ind w:firstLine="105"/>
        <w:rPr>
          <w:rFonts w:ascii="宋体" w:hAnsi="宋体" w:cs="宋体"/>
          <w:sz w:val="21"/>
          <w:szCs w:val="21"/>
        </w:rPr>
      </w:pPr>
      <w:r>
        <w:rPr>
          <w:rFonts w:hint="eastAsia" w:ascii="宋体" w:hAnsi="宋体" w:cs="宋体"/>
          <w:sz w:val="21"/>
          <w:szCs w:val="21"/>
        </w:rPr>
        <w:t>3.我方已详细审核全部招标文件及其有效补充文件（若有），包括投标文件修改书（如有的话）、参考资料及有关附件，确认无误。</w:t>
      </w:r>
    </w:p>
    <w:p w14:paraId="17BBB8BB">
      <w:pPr>
        <w:pStyle w:val="55"/>
        <w:spacing w:before="0" w:after="0" w:line="420" w:lineRule="exact"/>
        <w:ind w:firstLine="105"/>
        <w:rPr>
          <w:rFonts w:ascii="宋体" w:hAnsi="宋体" w:cs="宋体"/>
          <w:sz w:val="21"/>
          <w:szCs w:val="21"/>
        </w:rPr>
      </w:pPr>
      <w:r>
        <w:rPr>
          <w:rFonts w:hint="eastAsia" w:ascii="宋体" w:hAnsi="宋体" w:cs="宋体"/>
          <w:sz w:val="21"/>
          <w:szCs w:val="21"/>
        </w:rPr>
        <w:t>4.我方完全理解全部招标文件内容及相关的补充文件（若有），不存在任何误解之处，同意放弃提出异议和质疑的权利。</w:t>
      </w:r>
    </w:p>
    <w:p w14:paraId="74EFB92F">
      <w:pPr>
        <w:pStyle w:val="55"/>
        <w:spacing w:before="0" w:after="0" w:line="420" w:lineRule="exact"/>
        <w:ind w:firstLine="105"/>
        <w:rPr>
          <w:rFonts w:ascii="宋体" w:hAnsi="宋体" w:cs="宋体"/>
          <w:sz w:val="21"/>
          <w:szCs w:val="21"/>
        </w:rPr>
      </w:pPr>
      <w:r>
        <w:rPr>
          <w:rFonts w:hint="eastAsia" w:ascii="宋体" w:hAnsi="宋体" w:cs="宋体"/>
          <w:sz w:val="21"/>
          <w:szCs w:val="21"/>
        </w:rPr>
        <w:t>5.我方同意从规定的开标日期起遵循本投标文件，并在规定的投标有效期期满之前均具有约束力。</w:t>
      </w:r>
    </w:p>
    <w:p w14:paraId="6D2E9EDB">
      <w:pPr>
        <w:pStyle w:val="55"/>
        <w:spacing w:before="0" w:after="0" w:line="420" w:lineRule="exact"/>
        <w:ind w:firstLine="105"/>
        <w:rPr>
          <w:rFonts w:ascii="宋体" w:hAnsi="宋体" w:cs="宋体"/>
          <w:sz w:val="21"/>
          <w:szCs w:val="21"/>
        </w:rPr>
      </w:pPr>
      <w:r>
        <w:rPr>
          <w:rFonts w:hint="eastAsia" w:ascii="宋体" w:hAnsi="宋体" w:cs="宋体"/>
          <w:sz w:val="21"/>
          <w:szCs w:val="21"/>
        </w:rPr>
        <w:t>6.如果在开标后规定的投标有效期内撤回投标或中标后拒绝签订合同，我方的投标保证金可被贵方没收。</w:t>
      </w:r>
    </w:p>
    <w:p w14:paraId="119DE8F5">
      <w:pPr>
        <w:pStyle w:val="55"/>
        <w:spacing w:before="0" w:after="0" w:line="420" w:lineRule="exact"/>
        <w:ind w:firstLine="105"/>
        <w:rPr>
          <w:rFonts w:ascii="宋体" w:hAnsi="宋体" w:cs="宋体"/>
          <w:sz w:val="21"/>
          <w:szCs w:val="21"/>
        </w:rPr>
      </w:pPr>
      <w:r>
        <w:rPr>
          <w:rFonts w:hint="eastAsia" w:ascii="宋体" w:hAnsi="宋体" w:cs="宋体"/>
          <w:sz w:val="21"/>
          <w:szCs w:val="21"/>
        </w:rPr>
        <w:t>7.我方承诺：采购人若需追加采购本项目招标文件所列货物及相关服务的，在不改变合同其他实质性条款的前提下，按相同或更优惠的折扣率保证供货。</w:t>
      </w:r>
    </w:p>
    <w:p w14:paraId="390C3025">
      <w:pPr>
        <w:pStyle w:val="55"/>
        <w:spacing w:before="0" w:after="0" w:line="420" w:lineRule="exact"/>
        <w:ind w:firstLine="105"/>
        <w:rPr>
          <w:rFonts w:ascii="宋体" w:hAnsi="宋体" w:cs="宋体"/>
          <w:sz w:val="21"/>
          <w:szCs w:val="21"/>
        </w:rPr>
      </w:pPr>
      <w:r>
        <w:rPr>
          <w:rFonts w:hint="eastAsia" w:ascii="宋体" w:hAnsi="宋体" w:cs="宋体"/>
          <w:sz w:val="21"/>
          <w:szCs w:val="21"/>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47529143">
      <w:pPr>
        <w:pStyle w:val="55"/>
        <w:spacing w:before="0" w:after="0" w:line="420" w:lineRule="exact"/>
        <w:ind w:firstLine="105"/>
        <w:rPr>
          <w:rFonts w:ascii="宋体" w:hAnsi="宋体" w:cs="宋体"/>
          <w:sz w:val="21"/>
          <w:szCs w:val="21"/>
        </w:rPr>
      </w:pPr>
      <w:r>
        <w:rPr>
          <w:rFonts w:hint="eastAsia" w:ascii="宋体" w:hAnsi="宋体" w:cs="宋体"/>
          <w:sz w:val="21"/>
          <w:szCs w:val="21"/>
        </w:rPr>
        <w:t>9.一旦我方中标,我方将根据招标文件的规定，严格履行合同的责任和义务,并保证在招标文件规定的时间完成项目，交付采购人验收、使用。</w:t>
      </w:r>
    </w:p>
    <w:p w14:paraId="19EE77E6">
      <w:pPr>
        <w:pStyle w:val="55"/>
        <w:spacing w:before="0" w:after="0" w:line="420" w:lineRule="exact"/>
        <w:ind w:firstLine="105"/>
        <w:rPr>
          <w:rFonts w:ascii="宋体" w:hAnsi="宋体" w:cs="宋体"/>
          <w:sz w:val="21"/>
          <w:szCs w:val="21"/>
        </w:rPr>
      </w:pPr>
      <w:r>
        <w:rPr>
          <w:rFonts w:hint="eastAsia" w:ascii="宋体" w:hAnsi="宋体" w:cs="宋体"/>
          <w:sz w:val="21"/>
          <w:szCs w:val="21"/>
        </w:rPr>
        <w:t>10.遵守招标文件中要求的收费项目和标准且无任何异议。</w:t>
      </w:r>
    </w:p>
    <w:p w14:paraId="2B1EEEB9">
      <w:pPr>
        <w:pStyle w:val="55"/>
        <w:spacing w:before="0" w:after="0" w:line="420" w:lineRule="exact"/>
        <w:ind w:firstLine="105"/>
        <w:rPr>
          <w:rFonts w:ascii="宋体" w:hAnsi="宋体" w:cs="宋体"/>
          <w:sz w:val="21"/>
          <w:szCs w:val="21"/>
        </w:rPr>
      </w:pPr>
      <w:r>
        <w:rPr>
          <w:rFonts w:hint="eastAsia" w:ascii="宋体" w:hAnsi="宋体" w:cs="宋体"/>
          <w:sz w:val="21"/>
          <w:szCs w:val="21"/>
        </w:rPr>
        <w:t>如果我方违反上述承诺，或承诺内容不属实，我方愿意承担一切不利的法律后果。</w:t>
      </w:r>
    </w:p>
    <w:p w14:paraId="1133B2FF">
      <w:pPr>
        <w:pStyle w:val="55"/>
        <w:spacing w:before="0" w:after="0" w:line="420" w:lineRule="exact"/>
        <w:ind w:firstLine="105"/>
        <w:rPr>
          <w:rFonts w:ascii="宋体" w:hAnsi="宋体" w:cs="宋体"/>
          <w:sz w:val="21"/>
          <w:szCs w:val="21"/>
        </w:rPr>
      </w:pPr>
      <w:r>
        <w:rPr>
          <w:rFonts w:hint="eastAsia" w:ascii="宋体" w:hAnsi="宋体" w:cs="宋体"/>
          <w:sz w:val="21"/>
          <w:szCs w:val="21"/>
        </w:rPr>
        <w:t>与本投标有关的正式通讯地址为：</w:t>
      </w:r>
    </w:p>
    <w:p w14:paraId="246FFAD0">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地址：</w:t>
      </w:r>
    </w:p>
    <w:p w14:paraId="790CEE95">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邮编：</w:t>
      </w:r>
    </w:p>
    <w:p w14:paraId="65AE7D86">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电话：　　传真：</w:t>
      </w:r>
    </w:p>
    <w:p w14:paraId="68234A58">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投标人开户行：</w:t>
      </w:r>
    </w:p>
    <w:p w14:paraId="6A57C325">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账户：</w:t>
      </w:r>
    </w:p>
    <w:p w14:paraId="5ADE3668">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法定代表人或被授权人（签字或盖章）：</w:t>
      </w:r>
    </w:p>
    <w:p w14:paraId="05A058CD">
      <w:pPr>
        <w:pStyle w:val="55"/>
        <w:spacing w:before="0" w:after="0" w:line="420" w:lineRule="exact"/>
        <w:ind w:left="480" w:leftChars="200" w:firstLine="105"/>
        <w:rPr>
          <w:rFonts w:ascii="宋体" w:hAnsi="宋体" w:cs="宋体"/>
          <w:sz w:val="21"/>
          <w:szCs w:val="21"/>
          <w:u w:val="single"/>
        </w:rPr>
      </w:pPr>
      <w:r>
        <w:rPr>
          <w:rFonts w:hint="eastAsia" w:ascii="宋体" w:hAnsi="宋体" w:cs="宋体"/>
          <w:sz w:val="21"/>
          <w:szCs w:val="21"/>
        </w:rPr>
        <w:t>投标人名称（公章）：</w:t>
      </w:r>
    </w:p>
    <w:p w14:paraId="4388C949">
      <w:pPr>
        <w:pStyle w:val="55"/>
        <w:spacing w:before="0" w:after="0" w:line="420" w:lineRule="exact"/>
        <w:ind w:left="480" w:leftChars="200" w:firstLine="105"/>
        <w:rPr>
          <w:rFonts w:ascii="宋体" w:hAnsi="宋体" w:cs="宋体"/>
          <w:sz w:val="21"/>
          <w:szCs w:val="21"/>
        </w:rPr>
      </w:pPr>
      <w:r>
        <w:rPr>
          <w:rFonts w:hint="eastAsia" w:ascii="宋体" w:hAnsi="宋体" w:cs="宋体"/>
          <w:sz w:val="21"/>
          <w:szCs w:val="21"/>
        </w:rPr>
        <w:t>日期：年_______月_______日</w:t>
      </w:r>
    </w:p>
    <w:p w14:paraId="49645304">
      <w:pPr>
        <w:adjustRightInd w:val="0"/>
        <w:snapToGrid w:val="0"/>
        <w:spacing w:line="360" w:lineRule="exact"/>
        <w:rPr>
          <w:rFonts w:ascii="宋体" w:cs="宋体"/>
        </w:rPr>
        <w:sectPr>
          <w:headerReference r:id="rId8" w:type="first"/>
          <w:footerReference r:id="rId10" w:type="first"/>
          <w:headerReference r:id="rId7" w:type="default"/>
          <w:footerReference r:id="rId9" w:type="default"/>
          <w:pgSz w:w="11906" w:h="16838"/>
          <w:pgMar w:top="1418" w:right="1417" w:bottom="1418" w:left="1417" w:header="851" w:footer="992" w:gutter="0"/>
          <w:cols w:space="720" w:num="1"/>
          <w:docGrid w:linePitch="312" w:charSpace="0"/>
        </w:sectPr>
      </w:pPr>
    </w:p>
    <w:p w14:paraId="78FB8410">
      <w:pPr>
        <w:spacing w:line="480" w:lineRule="exact"/>
        <w:ind w:firstLine="141"/>
        <w:rPr>
          <w:rFonts w:ascii="宋体" w:cs="宋体"/>
          <w:b/>
          <w:sz w:val="28"/>
          <w:szCs w:val="28"/>
        </w:rPr>
      </w:pPr>
      <w:r>
        <w:rPr>
          <w:rFonts w:hint="eastAsia" w:ascii="宋体" w:cs="宋体"/>
          <w:b/>
          <w:sz w:val="28"/>
          <w:szCs w:val="28"/>
        </w:rPr>
        <w:t xml:space="preserve">附件3：  </w:t>
      </w:r>
    </w:p>
    <w:p w14:paraId="07C81D9C">
      <w:pPr>
        <w:spacing w:line="480" w:lineRule="exact"/>
        <w:ind w:firstLine="161"/>
        <w:jc w:val="center"/>
        <w:rPr>
          <w:rFonts w:ascii="宋体" w:cs="宋体"/>
          <w:b/>
          <w:sz w:val="32"/>
          <w:szCs w:val="32"/>
        </w:rPr>
      </w:pPr>
      <w:r>
        <w:rPr>
          <w:rFonts w:hint="eastAsia" w:ascii="宋体" w:cs="宋体"/>
          <w:b/>
          <w:sz w:val="32"/>
          <w:szCs w:val="32"/>
        </w:rPr>
        <w:t>法定代表人身份证明书</w:t>
      </w:r>
    </w:p>
    <w:p w14:paraId="2B496C32">
      <w:pPr>
        <w:adjustRightInd w:val="0"/>
        <w:spacing w:line="500" w:lineRule="exact"/>
        <w:jc w:val="center"/>
        <w:textAlignment w:val="baseline"/>
        <w:rPr>
          <w:rFonts w:ascii="宋体" w:cs="宋体"/>
          <w:kern w:val="0"/>
        </w:rPr>
      </w:pPr>
    </w:p>
    <w:p w14:paraId="07213128">
      <w:pPr>
        <w:adjustRightInd w:val="0"/>
        <w:spacing w:line="360" w:lineRule="auto"/>
        <w:ind w:firstLine="480" w:firstLineChars="200"/>
        <w:textAlignment w:val="baseline"/>
        <w:rPr>
          <w:rFonts w:ascii="宋体" w:cs="宋体"/>
          <w:kern w:val="0"/>
          <w:u w:val="single"/>
        </w:rPr>
      </w:pPr>
      <w:r>
        <w:rPr>
          <w:rFonts w:hint="eastAsia" w:ascii="宋体" w:cs="宋体"/>
          <w:kern w:val="0"/>
        </w:rPr>
        <w:t>单位名称：</w:t>
      </w:r>
    </w:p>
    <w:p w14:paraId="07AB95EA">
      <w:pPr>
        <w:adjustRightInd w:val="0"/>
        <w:spacing w:line="360" w:lineRule="auto"/>
        <w:ind w:firstLine="480" w:firstLineChars="200"/>
        <w:textAlignment w:val="baseline"/>
        <w:rPr>
          <w:rFonts w:ascii="宋体" w:cs="宋体"/>
          <w:kern w:val="0"/>
          <w:u w:val="single"/>
        </w:rPr>
      </w:pPr>
      <w:r>
        <w:rPr>
          <w:rFonts w:hint="eastAsia" w:ascii="宋体" w:cs="宋体"/>
          <w:kern w:val="0"/>
        </w:rPr>
        <w:t>地址：</w:t>
      </w:r>
    </w:p>
    <w:p w14:paraId="6C981408">
      <w:pPr>
        <w:adjustRightInd w:val="0"/>
        <w:spacing w:line="360" w:lineRule="auto"/>
        <w:ind w:firstLine="480" w:firstLineChars="200"/>
        <w:textAlignment w:val="baseline"/>
        <w:rPr>
          <w:rFonts w:ascii="宋体" w:cs="宋体"/>
          <w:kern w:val="0"/>
        </w:rPr>
      </w:pPr>
      <w:r>
        <w:rPr>
          <w:rFonts w:hint="eastAsia" w:ascii="宋体" w:cs="宋体"/>
          <w:kern w:val="0"/>
        </w:rPr>
        <w:t>成立时间：年月 日</w:t>
      </w:r>
    </w:p>
    <w:p w14:paraId="7940F4D0">
      <w:pPr>
        <w:adjustRightInd w:val="0"/>
        <w:spacing w:line="360" w:lineRule="auto"/>
        <w:ind w:firstLine="480" w:firstLineChars="200"/>
        <w:textAlignment w:val="baseline"/>
        <w:rPr>
          <w:rFonts w:ascii="宋体" w:cs="宋体"/>
          <w:kern w:val="0"/>
          <w:u w:val="single"/>
        </w:rPr>
      </w:pPr>
      <w:r>
        <w:rPr>
          <w:rFonts w:hint="eastAsia" w:ascii="宋体" w:cs="宋体"/>
          <w:kern w:val="0"/>
        </w:rPr>
        <w:t>经营期限：</w:t>
      </w:r>
    </w:p>
    <w:p w14:paraId="43089038">
      <w:pPr>
        <w:adjustRightInd w:val="0"/>
        <w:spacing w:line="360" w:lineRule="auto"/>
        <w:ind w:firstLine="480" w:firstLineChars="200"/>
        <w:textAlignment w:val="baseline"/>
        <w:rPr>
          <w:rFonts w:ascii="宋体" w:cs="宋体"/>
          <w:kern w:val="0"/>
          <w:u w:val="single"/>
        </w:rPr>
      </w:pPr>
      <w:r>
        <w:rPr>
          <w:rFonts w:hint="eastAsia" w:ascii="宋体" w:cs="宋体"/>
          <w:kern w:val="0"/>
        </w:rPr>
        <w:t>姓名：性别：</w:t>
      </w:r>
    </w:p>
    <w:p w14:paraId="5F013E06">
      <w:pPr>
        <w:adjustRightInd w:val="0"/>
        <w:spacing w:line="360" w:lineRule="auto"/>
        <w:ind w:firstLine="480" w:firstLineChars="200"/>
        <w:textAlignment w:val="baseline"/>
        <w:rPr>
          <w:rFonts w:ascii="宋体" w:cs="宋体"/>
          <w:kern w:val="0"/>
          <w:u w:val="single"/>
        </w:rPr>
      </w:pPr>
      <w:r>
        <w:rPr>
          <w:rFonts w:hint="eastAsia" w:ascii="宋体" w:cs="宋体"/>
          <w:kern w:val="0"/>
        </w:rPr>
        <w:t>职务：系：</w:t>
      </w:r>
      <w:r>
        <w:rPr>
          <w:rFonts w:hint="eastAsia" w:ascii="宋体" w:cs="宋体"/>
          <w:kern w:val="0"/>
          <w:u w:val="single"/>
        </w:rPr>
        <w:t xml:space="preserve">     (投标单位名称) </w:t>
      </w:r>
      <w:r>
        <w:rPr>
          <w:rFonts w:hint="eastAsia" w:ascii="宋体" w:cs="宋体"/>
          <w:kern w:val="0"/>
        </w:rPr>
        <w:t>的法定代表人。</w:t>
      </w:r>
    </w:p>
    <w:p w14:paraId="215BB13A">
      <w:pPr>
        <w:adjustRightInd w:val="0"/>
        <w:spacing w:line="360" w:lineRule="auto"/>
        <w:ind w:firstLine="480" w:firstLineChars="200"/>
        <w:textAlignment w:val="baseline"/>
        <w:rPr>
          <w:rFonts w:ascii="宋体" w:cs="宋体"/>
          <w:kern w:val="0"/>
        </w:rPr>
      </w:pPr>
    </w:p>
    <w:p w14:paraId="54F5EB52">
      <w:pPr>
        <w:adjustRightInd w:val="0"/>
        <w:spacing w:line="360" w:lineRule="auto"/>
        <w:ind w:firstLine="480" w:firstLineChars="200"/>
        <w:textAlignment w:val="baseline"/>
        <w:rPr>
          <w:rFonts w:ascii="宋体" w:cs="宋体"/>
          <w:kern w:val="0"/>
        </w:rPr>
      </w:pPr>
      <w:r>
        <w:rPr>
          <w:rFonts w:hint="eastAsia" w:ascii="宋体" w:cs="宋体"/>
          <w:kern w:val="0"/>
        </w:rPr>
        <w:t>特此证明</w:t>
      </w:r>
    </w:p>
    <w:p w14:paraId="43434B2C">
      <w:pPr>
        <w:adjustRightInd w:val="0"/>
        <w:spacing w:line="360" w:lineRule="auto"/>
        <w:ind w:firstLine="480" w:firstLineChars="200"/>
        <w:textAlignment w:val="baseline"/>
        <w:rPr>
          <w:rFonts w:ascii="宋体" w:cs="宋体"/>
          <w:kern w:val="0"/>
        </w:rPr>
      </w:pPr>
    </w:p>
    <w:p w14:paraId="27B1E55C">
      <w:pPr>
        <w:adjustRightInd w:val="0"/>
        <w:spacing w:line="360" w:lineRule="auto"/>
        <w:ind w:firstLine="3600" w:firstLineChars="1500"/>
        <w:textAlignment w:val="baseline"/>
        <w:rPr>
          <w:rFonts w:ascii="宋体" w:cs="宋体"/>
          <w:kern w:val="0"/>
        </w:rPr>
      </w:pPr>
      <w:r>
        <w:rPr>
          <w:rFonts w:hint="eastAsia" w:ascii="宋体" w:cs="宋体"/>
          <w:kern w:val="0"/>
        </w:rPr>
        <w:t>投标单位(加盖公章)：</w:t>
      </w:r>
    </w:p>
    <w:p w14:paraId="1474B51B">
      <w:pPr>
        <w:adjustRightInd w:val="0"/>
        <w:spacing w:line="360" w:lineRule="auto"/>
        <w:ind w:firstLine="3840" w:firstLineChars="1600"/>
        <w:textAlignment w:val="baseline"/>
        <w:rPr>
          <w:rFonts w:ascii="宋体" w:cs="宋体"/>
          <w:kern w:val="0"/>
        </w:rPr>
      </w:pPr>
    </w:p>
    <w:p w14:paraId="33C6C331">
      <w:pPr>
        <w:adjustRightInd w:val="0"/>
        <w:spacing w:line="360" w:lineRule="auto"/>
        <w:ind w:firstLine="4320" w:firstLineChars="1800"/>
        <w:textAlignment w:val="baseline"/>
        <w:rPr>
          <w:rFonts w:ascii="宋体" w:cs="宋体"/>
          <w:kern w:val="0"/>
        </w:rPr>
      </w:pPr>
      <w:r>
        <w:rPr>
          <w:rFonts w:hint="eastAsia" w:ascii="宋体" w:cs="宋体"/>
          <w:kern w:val="0"/>
        </w:rPr>
        <w:t>年  月  日</w:t>
      </w:r>
    </w:p>
    <w:p w14:paraId="003E8409">
      <w:pPr>
        <w:widowControl/>
        <w:spacing w:line="360" w:lineRule="auto"/>
        <w:rPr>
          <w:rFonts w:ascii="宋体" w:cs="宋体"/>
          <w:b/>
          <w:bCs/>
          <w:kern w:val="0"/>
          <w:szCs w:val="20"/>
        </w:rPr>
      </w:pPr>
    </w:p>
    <w:p w14:paraId="20A1B209">
      <w:pPr>
        <w:widowControl/>
        <w:spacing w:line="360" w:lineRule="auto"/>
        <w:rPr>
          <w:rFonts w:ascii="宋体" w:cs="宋体"/>
          <w:b/>
          <w:bCs/>
        </w:rPr>
      </w:pPr>
      <w:r>
        <w:rPr>
          <w:rFonts w:hint="eastAsia" w:ascii="宋体" w:cs="宋体"/>
          <w:b/>
          <w:bCs/>
        </w:rPr>
        <w:t>附：法定代表人身份证扫描件加盖电子签章或复印件加盖红色实物公章</w:t>
      </w:r>
    </w:p>
    <w:p w14:paraId="03BBFB68">
      <w:pPr>
        <w:spacing w:line="400" w:lineRule="exact"/>
        <w:ind w:firstLine="480" w:firstLineChars="200"/>
        <w:jc w:val="left"/>
        <w:rPr>
          <w:rFonts w:ascii="宋体" w:cs="宋体"/>
        </w:rPr>
      </w:pPr>
    </w:p>
    <w:p w14:paraId="4343CD1F">
      <w:pPr>
        <w:spacing w:line="400" w:lineRule="exact"/>
        <w:ind w:firstLine="480" w:firstLineChars="200"/>
        <w:jc w:val="left"/>
        <w:rPr>
          <w:rFonts w:ascii="宋体" w:cs="宋体"/>
        </w:rPr>
      </w:pPr>
    </w:p>
    <w:p w14:paraId="666E26F1">
      <w:pPr>
        <w:spacing w:line="400" w:lineRule="exact"/>
        <w:ind w:firstLine="480" w:firstLineChars="200"/>
        <w:jc w:val="left"/>
        <w:rPr>
          <w:rFonts w:ascii="宋体" w:cs="宋体"/>
        </w:rPr>
      </w:pPr>
    </w:p>
    <w:p w14:paraId="4E39D557">
      <w:pPr>
        <w:spacing w:line="400" w:lineRule="exact"/>
        <w:ind w:firstLine="480" w:firstLineChars="200"/>
        <w:jc w:val="left"/>
        <w:rPr>
          <w:rFonts w:ascii="宋体" w:cs="宋体"/>
        </w:rPr>
      </w:pPr>
    </w:p>
    <w:p w14:paraId="44AD3630">
      <w:pPr>
        <w:pStyle w:val="2"/>
        <w:ind w:left="480" w:firstLine="480"/>
        <w:rPr>
          <w:rFonts w:ascii="宋体" w:cs="宋体"/>
        </w:rPr>
      </w:pPr>
    </w:p>
    <w:p w14:paraId="3BBF9EE8">
      <w:pPr>
        <w:spacing w:line="400" w:lineRule="exact"/>
        <w:ind w:firstLine="480" w:firstLineChars="200"/>
        <w:jc w:val="left"/>
        <w:rPr>
          <w:rFonts w:ascii="宋体" w:cs="宋体"/>
        </w:rPr>
      </w:pPr>
    </w:p>
    <w:p w14:paraId="701DBEC0">
      <w:pPr>
        <w:spacing w:line="400" w:lineRule="exact"/>
        <w:ind w:firstLine="480" w:firstLineChars="200"/>
        <w:jc w:val="left"/>
        <w:rPr>
          <w:rFonts w:ascii="宋体" w:cs="宋体"/>
        </w:rPr>
      </w:pPr>
    </w:p>
    <w:p w14:paraId="58ACB581">
      <w:pPr>
        <w:spacing w:line="400" w:lineRule="exact"/>
        <w:ind w:firstLine="480" w:firstLineChars="200"/>
        <w:jc w:val="left"/>
        <w:rPr>
          <w:rFonts w:ascii="宋体" w:cs="宋体"/>
        </w:rPr>
      </w:pPr>
    </w:p>
    <w:p w14:paraId="0786F425">
      <w:pPr>
        <w:spacing w:line="400" w:lineRule="exact"/>
        <w:ind w:firstLine="480" w:firstLineChars="200"/>
        <w:jc w:val="left"/>
        <w:rPr>
          <w:rFonts w:ascii="宋体" w:cs="宋体"/>
        </w:rPr>
      </w:pPr>
    </w:p>
    <w:p w14:paraId="20061BD5">
      <w:pPr>
        <w:spacing w:line="400" w:lineRule="exact"/>
        <w:ind w:firstLine="480" w:firstLineChars="200"/>
        <w:jc w:val="left"/>
        <w:rPr>
          <w:rFonts w:ascii="宋体" w:cs="宋体"/>
        </w:rPr>
      </w:pPr>
    </w:p>
    <w:p w14:paraId="68576450">
      <w:pPr>
        <w:spacing w:line="400" w:lineRule="exact"/>
        <w:ind w:firstLine="480" w:firstLineChars="200"/>
        <w:jc w:val="left"/>
        <w:rPr>
          <w:rFonts w:ascii="宋体" w:cs="宋体"/>
        </w:rPr>
      </w:pPr>
    </w:p>
    <w:p w14:paraId="282245F4">
      <w:pPr>
        <w:spacing w:line="400" w:lineRule="exact"/>
        <w:ind w:firstLine="480" w:firstLineChars="200"/>
        <w:jc w:val="left"/>
        <w:rPr>
          <w:rFonts w:ascii="宋体" w:cs="宋体"/>
        </w:rPr>
      </w:pPr>
    </w:p>
    <w:p w14:paraId="135E6ACE">
      <w:pPr>
        <w:spacing w:line="400" w:lineRule="exact"/>
        <w:ind w:firstLine="480" w:firstLineChars="200"/>
        <w:jc w:val="left"/>
        <w:rPr>
          <w:rFonts w:ascii="宋体" w:cs="宋体"/>
        </w:rPr>
      </w:pPr>
    </w:p>
    <w:p w14:paraId="2EF4B6A7">
      <w:pPr>
        <w:spacing w:line="400" w:lineRule="exact"/>
        <w:ind w:firstLine="480" w:firstLineChars="200"/>
        <w:jc w:val="left"/>
        <w:rPr>
          <w:rFonts w:ascii="宋体" w:cs="宋体"/>
        </w:rPr>
      </w:pPr>
    </w:p>
    <w:p w14:paraId="6F4577FB">
      <w:pPr>
        <w:pStyle w:val="2"/>
        <w:ind w:left="480" w:firstLine="480"/>
        <w:rPr>
          <w:rFonts w:ascii="宋体" w:cs="宋体"/>
        </w:rPr>
      </w:pPr>
    </w:p>
    <w:p w14:paraId="2B0290D5">
      <w:pPr>
        <w:spacing w:line="400" w:lineRule="exact"/>
        <w:ind w:firstLine="482" w:firstLineChars="200"/>
        <w:jc w:val="left"/>
        <w:rPr>
          <w:rFonts w:ascii="宋体" w:cs="宋体"/>
        </w:rPr>
      </w:pPr>
      <w:r>
        <w:rPr>
          <w:rFonts w:hint="eastAsia" w:ascii="宋体" w:cs="宋体"/>
          <w:b/>
        </w:rPr>
        <w:t>附件4：</w:t>
      </w:r>
    </w:p>
    <w:p w14:paraId="00A21920">
      <w:pPr>
        <w:pStyle w:val="4"/>
        <w:spacing w:line="360" w:lineRule="auto"/>
        <w:ind w:firstLine="2570" w:firstLineChars="800"/>
        <w:jc w:val="both"/>
        <w:rPr>
          <w:rFonts w:ascii="宋体" w:eastAsia="宋体" w:cs="宋体"/>
          <w:b/>
          <w:sz w:val="32"/>
          <w:szCs w:val="32"/>
        </w:rPr>
      </w:pPr>
      <w:r>
        <w:rPr>
          <w:rFonts w:hint="eastAsia" w:ascii="宋体" w:eastAsia="宋体" w:cs="宋体"/>
          <w:b/>
          <w:sz w:val="32"/>
          <w:szCs w:val="32"/>
        </w:rPr>
        <w:t xml:space="preserve">  法人代表授权书</w:t>
      </w:r>
    </w:p>
    <w:p w14:paraId="57494055">
      <w:pPr>
        <w:spacing w:line="360" w:lineRule="auto"/>
        <w:ind w:firstLine="480" w:firstLineChars="200"/>
        <w:jc w:val="left"/>
        <w:rPr>
          <w:rFonts w:ascii="宋体" w:cs="宋体"/>
        </w:rPr>
      </w:pPr>
    </w:p>
    <w:p w14:paraId="6FAF5FEA">
      <w:pPr>
        <w:spacing w:line="360" w:lineRule="auto"/>
        <w:ind w:firstLine="480" w:firstLineChars="200"/>
        <w:jc w:val="left"/>
        <w:rPr>
          <w:rFonts w:ascii="宋体" w:cs="宋体"/>
          <w:u w:val="single"/>
        </w:rPr>
      </w:pPr>
      <w:r>
        <w:rPr>
          <w:rFonts w:hint="eastAsia" w:ascii="宋体" w:cs="宋体"/>
        </w:rPr>
        <w:t>本授权书声明：______（投标人单位名称）____________（法定代表人姓名、职务）授权____________（被授权人的姓名、职务）为我方就项目投标活动的合法代理人，以本公司名义全权处理一切与该项目投标有关的事务。</w:t>
      </w:r>
    </w:p>
    <w:p w14:paraId="08209B5C">
      <w:pPr>
        <w:pStyle w:val="55"/>
        <w:spacing w:before="0" w:after="0" w:line="600" w:lineRule="exact"/>
        <w:ind w:firstLine="120"/>
        <w:rPr>
          <w:rFonts w:ascii="宋体" w:hAnsi="宋体" w:cs="宋体"/>
        </w:rPr>
      </w:pPr>
      <w:r>
        <w:rPr>
          <w:rFonts w:hint="eastAsia" w:ascii="宋体" w:hAnsi="宋体" w:cs="宋体"/>
        </w:rPr>
        <w:t>本授权书于年____月____日签字或盖章生效，特此声明。</w:t>
      </w:r>
    </w:p>
    <w:p w14:paraId="25797671">
      <w:pPr>
        <w:pStyle w:val="55"/>
        <w:spacing w:before="0" w:after="0" w:line="600" w:lineRule="exact"/>
        <w:ind w:firstLine="120"/>
        <w:rPr>
          <w:rFonts w:ascii="宋体" w:hAnsi="宋体" w:cs="宋体"/>
        </w:rPr>
      </w:pPr>
      <w:r>
        <w:rPr>
          <w:rFonts w:hint="eastAsia" w:ascii="宋体" w:hAnsi="宋体" w:cs="宋体"/>
        </w:rPr>
        <w:t>被授权人无转委托权，特此委托。</w:t>
      </w:r>
    </w:p>
    <w:p w14:paraId="078F649D">
      <w:pPr>
        <w:pStyle w:val="55"/>
        <w:spacing w:before="0" w:after="0" w:line="600" w:lineRule="exact"/>
        <w:ind w:firstLine="120"/>
        <w:rPr>
          <w:rFonts w:ascii="宋体" w:hAnsi="宋体" w:cs="宋体"/>
        </w:rPr>
      </w:pPr>
    </w:p>
    <w:p w14:paraId="425236C9">
      <w:pPr>
        <w:pStyle w:val="55"/>
        <w:spacing w:before="0" w:after="0" w:line="600" w:lineRule="exact"/>
        <w:ind w:firstLine="120"/>
        <w:rPr>
          <w:rFonts w:ascii="宋体" w:hAnsi="宋体" w:cs="宋体"/>
        </w:rPr>
      </w:pPr>
      <w:r>
        <w:rPr>
          <w:rFonts w:hint="eastAsia" w:ascii="宋体" w:hAnsi="宋体" w:cs="宋体"/>
        </w:rPr>
        <w:t>法定代表人签字或盖章：_____________________________________</w:t>
      </w:r>
    </w:p>
    <w:p w14:paraId="7E72FCB8">
      <w:pPr>
        <w:pStyle w:val="55"/>
        <w:spacing w:before="0" w:after="0" w:line="600" w:lineRule="exact"/>
        <w:ind w:firstLine="120"/>
        <w:rPr>
          <w:rFonts w:ascii="宋体" w:hAnsi="宋体" w:cs="宋体"/>
        </w:rPr>
      </w:pPr>
      <w:r>
        <w:rPr>
          <w:rFonts w:hint="eastAsia" w:ascii="宋体" w:hAnsi="宋体" w:cs="宋体"/>
        </w:rPr>
        <w:t>职务：_____________________________________</w:t>
      </w:r>
    </w:p>
    <w:p w14:paraId="1D1FD68D">
      <w:pPr>
        <w:pStyle w:val="55"/>
        <w:spacing w:before="0" w:after="0" w:line="600" w:lineRule="exact"/>
        <w:ind w:firstLine="120"/>
        <w:rPr>
          <w:rFonts w:ascii="宋体" w:hAnsi="宋体" w:cs="宋体"/>
        </w:rPr>
      </w:pPr>
    </w:p>
    <w:p w14:paraId="3ABBEE1D">
      <w:pPr>
        <w:pStyle w:val="55"/>
        <w:spacing w:before="0" w:after="0" w:line="600" w:lineRule="exact"/>
        <w:ind w:firstLine="120"/>
        <w:rPr>
          <w:rFonts w:ascii="宋体" w:hAnsi="宋体" w:cs="宋体"/>
        </w:rPr>
      </w:pPr>
      <w:r>
        <w:rPr>
          <w:rFonts w:hint="eastAsia" w:ascii="宋体" w:hAnsi="宋体" w:cs="宋体"/>
        </w:rPr>
        <w:t>代理人（被授权人）签字或盖章：_____________________________</w:t>
      </w:r>
    </w:p>
    <w:p w14:paraId="404DD2D4">
      <w:pPr>
        <w:pStyle w:val="55"/>
        <w:spacing w:before="0" w:after="0" w:line="600" w:lineRule="exact"/>
        <w:ind w:firstLine="120"/>
        <w:rPr>
          <w:rFonts w:ascii="宋体" w:hAnsi="宋体" w:cs="宋体"/>
        </w:rPr>
      </w:pPr>
      <w:r>
        <w:rPr>
          <w:rFonts w:hint="eastAsia" w:ascii="宋体" w:hAnsi="宋体" w:cs="宋体"/>
        </w:rPr>
        <w:t>职务：_____________________________________</w:t>
      </w:r>
    </w:p>
    <w:p w14:paraId="21702DFF">
      <w:pPr>
        <w:pStyle w:val="55"/>
        <w:spacing w:before="0" w:after="0" w:line="600" w:lineRule="exact"/>
        <w:ind w:firstLine="120"/>
        <w:rPr>
          <w:rFonts w:ascii="宋体" w:hAnsi="宋体" w:cs="宋体"/>
        </w:rPr>
      </w:pPr>
    </w:p>
    <w:p w14:paraId="2F4D627A">
      <w:pPr>
        <w:pStyle w:val="55"/>
        <w:spacing w:before="0" w:after="0" w:line="600" w:lineRule="exact"/>
        <w:ind w:firstLine="120"/>
        <w:rPr>
          <w:rFonts w:ascii="宋体" w:hAnsi="宋体" w:cs="宋体"/>
        </w:rPr>
      </w:pPr>
      <w:r>
        <w:rPr>
          <w:rFonts w:hint="eastAsia" w:ascii="宋体" w:hAnsi="宋体" w:cs="宋体"/>
        </w:rPr>
        <w:t>投标人名称（公章）：_____________________________________</w:t>
      </w:r>
    </w:p>
    <w:p w14:paraId="29154BEE">
      <w:pPr>
        <w:pStyle w:val="55"/>
        <w:spacing w:before="0" w:after="0" w:line="600" w:lineRule="exact"/>
        <w:ind w:firstLine="120"/>
        <w:rPr>
          <w:rFonts w:ascii="宋体" w:hAnsi="宋体" w:cs="宋体"/>
        </w:rPr>
      </w:pPr>
      <w:r>
        <w:rPr>
          <w:rFonts w:hint="eastAsia" w:ascii="宋体" w:hAnsi="宋体" w:cs="宋体"/>
        </w:rPr>
        <w:t>日期：_____________________________________</w:t>
      </w:r>
    </w:p>
    <w:p w14:paraId="4D299632">
      <w:pPr>
        <w:snapToGrid w:val="0"/>
        <w:spacing w:line="360" w:lineRule="auto"/>
        <w:rPr>
          <w:rFonts w:ascii="宋体" w:cs="宋体"/>
        </w:rPr>
      </w:pPr>
    </w:p>
    <w:p w14:paraId="0BA146B8">
      <w:pPr>
        <w:snapToGrid w:val="0"/>
        <w:spacing w:line="360" w:lineRule="auto"/>
        <w:rPr>
          <w:rFonts w:ascii="宋体" w:cs="宋体"/>
          <w:b/>
        </w:rPr>
      </w:pPr>
    </w:p>
    <w:p w14:paraId="0C9A256C">
      <w:pPr>
        <w:snapToGrid w:val="0"/>
        <w:spacing w:line="360" w:lineRule="auto"/>
        <w:rPr>
          <w:rFonts w:ascii="宋体" w:cs="宋体"/>
          <w:b/>
        </w:rPr>
      </w:pPr>
      <w:r>
        <w:rPr>
          <w:rFonts w:hint="eastAsia" w:ascii="宋体" w:cs="宋体"/>
          <w:b/>
        </w:rPr>
        <w:t>附：</w:t>
      </w:r>
      <w:r>
        <w:rPr>
          <w:rFonts w:hint="eastAsia" w:ascii="宋体" w:cs="宋体"/>
          <w:b/>
          <w:bCs/>
        </w:rPr>
        <w:t>代理人（被授权人）身份证</w:t>
      </w:r>
      <w:r>
        <w:rPr>
          <w:rFonts w:hint="eastAsia" w:ascii="宋体" w:cs="宋体"/>
          <w:b/>
        </w:rPr>
        <w:t>扫描件加盖电子签章或复印件加盖红色实物公章</w:t>
      </w:r>
    </w:p>
    <w:p w14:paraId="1B2C9EEC">
      <w:pPr>
        <w:snapToGrid w:val="0"/>
        <w:spacing w:line="360" w:lineRule="auto"/>
        <w:rPr>
          <w:rFonts w:ascii="宋体" w:cs="宋体"/>
        </w:rPr>
      </w:pPr>
    </w:p>
    <w:p w14:paraId="0188F543">
      <w:pPr>
        <w:rPr>
          <w:rFonts w:ascii="宋体" w:cs="宋体"/>
        </w:rPr>
      </w:pPr>
    </w:p>
    <w:p w14:paraId="5EE5C454">
      <w:pPr>
        <w:adjustRightInd w:val="0"/>
        <w:snapToGrid w:val="0"/>
        <w:ind w:left="-101" w:leftChars="-42"/>
        <w:jc w:val="center"/>
        <w:outlineLvl w:val="0"/>
        <w:rPr>
          <w:rFonts w:ascii="宋体" w:cs="宋体"/>
        </w:rPr>
        <w:sectPr>
          <w:pgSz w:w="11906" w:h="16838"/>
          <w:pgMar w:top="1417" w:right="1587" w:bottom="1417" w:left="1587" w:header="851" w:footer="992" w:gutter="0"/>
          <w:cols w:space="0" w:num="1"/>
          <w:docGrid w:linePitch="312" w:charSpace="0"/>
        </w:sectPr>
      </w:pPr>
    </w:p>
    <w:p w14:paraId="0EEFFDFA">
      <w:pPr>
        <w:spacing w:line="400" w:lineRule="exact"/>
        <w:ind w:firstLine="482" w:firstLineChars="200"/>
        <w:jc w:val="left"/>
        <w:rPr>
          <w:rFonts w:ascii="宋体" w:cs="宋体"/>
          <w:b/>
          <w:sz w:val="32"/>
          <w:szCs w:val="32"/>
        </w:rPr>
      </w:pPr>
      <w:r>
        <w:rPr>
          <w:rFonts w:hint="eastAsia" w:ascii="宋体" w:cs="宋体"/>
          <w:b/>
        </w:rPr>
        <w:t>附件5：</w:t>
      </w:r>
    </w:p>
    <w:p w14:paraId="4AC65941">
      <w:pPr>
        <w:spacing w:line="360" w:lineRule="auto"/>
        <w:ind w:firstLine="643" w:firstLineChars="200"/>
        <w:jc w:val="center"/>
        <w:rPr>
          <w:rFonts w:ascii="宋体" w:cs="宋体"/>
          <w:b/>
          <w:bCs/>
          <w:sz w:val="32"/>
          <w:szCs w:val="32"/>
        </w:rPr>
      </w:pPr>
      <w:r>
        <w:rPr>
          <w:rFonts w:hint="eastAsia" w:ascii="宋体" w:cs="宋体"/>
          <w:b/>
          <w:bCs/>
          <w:sz w:val="32"/>
          <w:szCs w:val="32"/>
        </w:rPr>
        <w:t>公共资源交易投标信用承诺书</w:t>
      </w:r>
    </w:p>
    <w:p w14:paraId="3C2ADFCD">
      <w:pPr>
        <w:spacing w:line="360" w:lineRule="auto"/>
        <w:ind w:firstLine="480" w:firstLineChars="200"/>
        <w:rPr>
          <w:rFonts w:ascii="宋体" w:cs="宋体"/>
          <w:kern w:val="0"/>
          <w:lang w:val="zh-CN"/>
        </w:rPr>
      </w:pPr>
      <w:r>
        <w:rPr>
          <w:rFonts w:hint="eastAsia" w:ascii="宋体" w:cs="宋体"/>
          <w:kern w:val="0"/>
          <w:lang w:val="zh-CN"/>
        </w:rPr>
        <w:t>为营造公开、公平、公正的公共资源交易环境，树立诚信守法的投标人形象，本人代表本单位作出以下承诺：</w:t>
      </w:r>
    </w:p>
    <w:p w14:paraId="5CE39BD4">
      <w:pPr>
        <w:spacing w:line="360" w:lineRule="auto"/>
        <w:ind w:firstLine="480" w:firstLineChars="200"/>
        <w:rPr>
          <w:rFonts w:ascii="宋体" w:cs="宋体"/>
          <w:kern w:val="0"/>
          <w:lang w:val="zh-CN"/>
        </w:rPr>
      </w:pPr>
      <w:r>
        <w:rPr>
          <w:rFonts w:hint="eastAsia" w:ascii="宋体" w:cs="宋体"/>
          <w:kern w:val="0"/>
          <w:lang w:val="zh-CN"/>
        </w:rPr>
        <w:t>一、本单位对所提交的单位基本信息、单位负责人、项目负责人、技术负责人、从业资质和资格、业绩、财务状况、信誉等所有资料，均合法、真实、准确、有效，无任何伪造、修改、虚假成分；</w:t>
      </w:r>
    </w:p>
    <w:p w14:paraId="51EFB8C4">
      <w:pPr>
        <w:spacing w:line="360" w:lineRule="auto"/>
        <w:ind w:firstLine="480" w:firstLineChars="200"/>
        <w:rPr>
          <w:rFonts w:ascii="宋体" w:cs="宋体"/>
          <w:kern w:val="0"/>
          <w:lang w:val="zh-CN"/>
        </w:rPr>
      </w:pPr>
      <w:r>
        <w:rPr>
          <w:rFonts w:hint="eastAsia" w:ascii="宋体" w:cs="宋体"/>
          <w:kern w:val="0"/>
          <w:lang w:val="zh-CN"/>
        </w:rPr>
        <w:t>二、严格依照国家和省、市、县关于政府采购等方面的法律、法规、规章、规范性文件，参加公共资源交易招标投标活动；积极履行社会责任，促进廉政建设；</w:t>
      </w:r>
    </w:p>
    <w:p w14:paraId="625B65D4">
      <w:pPr>
        <w:spacing w:line="360" w:lineRule="auto"/>
        <w:ind w:firstLine="480" w:firstLineChars="200"/>
        <w:rPr>
          <w:rFonts w:ascii="宋体" w:cs="宋体"/>
          <w:kern w:val="0"/>
          <w:lang w:val="zh-CN"/>
        </w:rPr>
      </w:pPr>
      <w:r>
        <w:rPr>
          <w:rFonts w:hint="eastAsia" w:ascii="宋体" w:cs="宋体"/>
          <w:kern w:val="0"/>
          <w:lang w:val="zh-CN"/>
        </w:rPr>
        <w:t>三、严格遵守即时信息公示规定，及时更新公共资源交易中心主体信息库中信息；</w:t>
      </w:r>
    </w:p>
    <w:p w14:paraId="664C647B">
      <w:pPr>
        <w:spacing w:line="360" w:lineRule="auto"/>
        <w:ind w:firstLine="480" w:firstLineChars="200"/>
        <w:rPr>
          <w:rFonts w:ascii="宋体" w:cs="宋体"/>
          <w:kern w:val="0"/>
          <w:lang w:val="zh-CN"/>
        </w:rPr>
      </w:pPr>
      <w:r>
        <w:rPr>
          <w:rFonts w:hint="eastAsia" w:ascii="宋体" w:cs="宋体"/>
          <w:kern w:val="0"/>
          <w:lang w:val="zh-CN"/>
        </w:rPr>
        <w:t>四、自我约束、自我管理，守合同、重信用，不参与围标串标、弄虚作假、骗取中标、干扰评标、违约毁约、恶意投诉等行为，主动维护公共资源交易招标投标的良好秩序；</w:t>
      </w:r>
    </w:p>
    <w:p w14:paraId="396C860E">
      <w:pPr>
        <w:spacing w:line="360" w:lineRule="auto"/>
        <w:ind w:firstLine="480" w:firstLineChars="200"/>
        <w:rPr>
          <w:rFonts w:ascii="宋体" w:cs="宋体"/>
          <w:kern w:val="0"/>
          <w:lang w:val="zh-CN"/>
        </w:rPr>
      </w:pPr>
      <w:r>
        <w:rPr>
          <w:rFonts w:hint="eastAsia" w:ascii="宋体" w:cs="宋体"/>
          <w:kern w:val="0"/>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B65AAC2">
      <w:pPr>
        <w:spacing w:line="360" w:lineRule="auto"/>
        <w:ind w:firstLine="480" w:firstLineChars="200"/>
        <w:rPr>
          <w:rFonts w:ascii="宋体" w:cs="宋体"/>
          <w:kern w:val="0"/>
          <w:lang w:val="zh-CN"/>
        </w:rPr>
      </w:pPr>
      <w:r>
        <w:rPr>
          <w:rFonts w:hint="eastAsia" w:ascii="宋体" w:cs="宋体"/>
          <w:kern w:val="0"/>
          <w:lang w:val="zh-CN"/>
        </w:rPr>
        <w:t>六、自觉接受政府部门、行业组织、社会公众、新闻舆论等监督；</w:t>
      </w:r>
    </w:p>
    <w:p w14:paraId="6289E8B5">
      <w:pPr>
        <w:spacing w:line="360" w:lineRule="auto"/>
        <w:ind w:firstLine="480" w:firstLineChars="200"/>
        <w:rPr>
          <w:rFonts w:ascii="宋体" w:cs="宋体"/>
          <w:kern w:val="0"/>
          <w:lang w:val="zh-CN"/>
        </w:rPr>
      </w:pPr>
      <w:r>
        <w:rPr>
          <w:rFonts w:hint="eastAsia" w:ascii="宋体" w:cs="宋体"/>
          <w:kern w:val="0"/>
          <w:lang w:val="zh-CN"/>
        </w:rPr>
        <w:t>七、上述承诺已向本单位员工作了宣传教育；</w:t>
      </w:r>
    </w:p>
    <w:p w14:paraId="5B06C783">
      <w:pPr>
        <w:spacing w:line="360" w:lineRule="auto"/>
        <w:ind w:firstLine="482" w:firstLineChars="200"/>
        <w:rPr>
          <w:rFonts w:ascii="宋体" w:cs="宋体"/>
          <w:b/>
          <w:kern w:val="0"/>
          <w:lang w:val="zh-CN"/>
        </w:rPr>
      </w:pPr>
      <w:r>
        <w:rPr>
          <w:rFonts w:hint="eastAsia" w:ascii="宋体" w:cs="宋体"/>
          <w:b/>
          <w:kern w:val="0"/>
          <w:lang w:val="zh-CN"/>
        </w:rPr>
        <w:t>如有违反上述承诺的不良行为，本单位同意将其予以上网公示。</w:t>
      </w:r>
    </w:p>
    <w:p w14:paraId="4600CCBC">
      <w:pPr>
        <w:adjustRightInd w:val="0"/>
        <w:spacing w:line="500" w:lineRule="exact"/>
        <w:ind w:left="-2" w:right="120" w:firstLine="480" w:firstLineChars="200"/>
        <w:textAlignment w:val="baseline"/>
        <w:rPr>
          <w:rFonts w:ascii="宋体" w:cs="宋体"/>
        </w:rPr>
      </w:pPr>
    </w:p>
    <w:p w14:paraId="02E227A7">
      <w:pPr>
        <w:adjustRightInd w:val="0"/>
        <w:spacing w:line="500" w:lineRule="exact"/>
        <w:ind w:left="-2" w:right="120" w:firstLine="480" w:firstLineChars="200"/>
        <w:textAlignment w:val="baseline"/>
        <w:rPr>
          <w:rFonts w:ascii="宋体" w:cs="宋体"/>
        </w:rPr>
      </w:pPr>
      <w:r>
        <w:rPr>
          <w:rFonts w:hint="eastAsia" w:ascii="宋体" w:cs="宋体"/>
        </w:rPr>
        <w:t>投标人全称（加盖公章）：</w:t>
      </w:r>
    </w:p>
    <w:p w14:paraId="76CEA5A7">
      <w:pPr>
        <w:pStyle w:val="11"/>
      </w:pPr>
    </w:p>
    <w:p w14:paraId="677FFD77">
      <w:pPr>
        <w:spacing w:line="500" w:lineRule="exact"/>
        <w:ind w:firstLine="480" w:firstLineChars="200"/>
        <w:rPr>
          <w:rFonts w:ascii="宋体" w:cs="宋体"/>
        </w:rPr>
      </w:pPr>
      <w:r>
        <w:rPr>
          <w:rFonts w:hint="eastAsia" w:ascii="宋体" w:cs="宋体"/>
        </w:rPr>
        <w:t>法定代表人（签字或盖章）：</w:t>
      </w:r>
    </w:p>
    <w:p w14:paraId="7FD1E174">
      <w:pPr>
        <w:spacing w:line="500" w:lineRule="exact"/>
        <w:ind w:firstLine="120"/>
        <w:jc w:val="center"/>
        <w:rPr>
          <w:rFonts w:ascii="宋体" w:cs="宋体"/>
          <w:b/>
          <w:sz w:val="32"/>
          <w:szCs w:val="32"/>
        </w:rPr>
      </w:pPr>
      <w:r>
        <w:rPr>
          <w:rFonts w:hint="eastAsia" w:ascii="宋体" w:cs="宋体"/>
        </w:rPr>
        <w:t>时间:   年   月   日</w:t>
      </w:r>
    </w:p>
    <w:p w14:paraId="56318076">
      <w:pPr>
        <w:snapToGrid w:val="0"/>
        <w:spacing w:before="50" w:after="50"/>
        <w:ind w:firstLine="161"/>
        <w:jc w:val="center"/>
        <w:rPr>
          <w:rFonts w:ascii="宋体" w:cs="宋体"/>
          <w:b/>
          <w:sz w:val="32"/>
          <w:szCs w:val="32"/>
        </w:rPr>
      </w:pPr>
    </w:p>
    <w:p w14:paraId="285E7D0E">
      <w:pPr>
        <w:snapToGrid w:val="0"/>
        <w:spacing w:line="400" w:lineRule="exact"/>
        <w:ind w:firstLine="160"/>
        <w:rPr>
          <w:rFonts w:ascii="宋体" w:cs="宋体"/>
          <w:kern w:val="0"/>
          <w:sz w:val="32"/>
          <w:szCs w:val="32"/>
        </w:rPr>
      </w:pPr>
    </w:p>
    <w:p w14:paraId="2F753E8D">
      <w:pPr>
        <w:pStyle w:val="11"/>
        <w:rPr>
          <w:rFonts w:ascii="宋体" w:cs="宋体"/>
        </w:rPr>
      </w:pPr>
    </w:p>
    <w:p w14:paraId="27236FF6">
      <w:pPr>
        <w:pStyle w:val="4"/>
        <w:ind w:firstLine="151"/>
        <w:jc w:val="both"/>
        <w:rPr>
          <w:rFonts w:ascii="宋体" w:eastAsia="宋体" w:cs="宋体"/>
          <w:b/>
          <w:sz w:val="30"/>
          <w:szCs w:val="30"/>
        </w:rPr>
      </w:pPr>
      <w:bookmarkStart w:id="75" w:name="_Toc434820124"/>
      <w:bookmarkStart w:id="76" w:name="_Toc287782058"/>
      <w:r>
        <w:rPr>
          <w:rFonts w:hint="eastAsia" w:ascii="宋体" w:eastAsia="宋体" w:cs="宋体"/>
          <w:b/>
          <w:sz w:val="30"/>
          <w:szCs w:val="30"/>
        </w:rPr>
        <w:t>附件6</w:t>
      </w:r>
    </w:p>
    <w:p w14:paraId="6FDD1CBF">
      <w:pPr>
        <w:pStyle w:val="4"/>
        <w:ind w:firstLine="151"/>
        <w:rPr>
          <w:rFonts w:ascii="宋体" w:eastAsia="宋体" w:cs="宋体"/>
          <w:b/>
          <w:sz w:val="30"/>
          <w:szCs w:val="30"/>
        </w:rPr>
      </w:pPr>
    </w:p>
    <w:p w14:paraId="27F4375F">
      <w:pPr>
        <w:pStyle w:val="4"/>
        <w:ind w:firstLine="151"/>
        <w:rPr>
          <w:rFonts w:ascii="宋体" w:eastAsia="宋体" w:cs="宋体"/>
          <w:b/>
          <w:sz w:val="30"/>
          <w:szCs w:val="30"/>
        </w:rPr>
      </w:pPr>
      <w:r>
        <w:rPr>
          <w:rFonts w:hint="eastAsia" w:ascii="宋体" w:eastAsia="宋体" w:cs="宋体"/>
          <w:b/>
          <w:sz w:val="30"/>
          <w:szCs w:val="30"/>
        </w:rPr>
        <w:t>商务偏离表</w:t>
      </w:r>
    </w:p>
    <w:tbl>
      <w:tblPr>
        <w:tblStyle w:val="23"/>
        <w:tblW w:w="8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38"/>
        <w:gridCol w:w="1827"/>
        <w:gridCol w:w="2413"/>
        <w:gridCol w:w="2321"/>
      </w:tblGrid>
      <w:tr w14:paraId="22002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8" w:hRule="atLeast"/>
          <w:jc w:val="center"/>
        </w:trPr>
        <w:tc>
          <w:tcPr>
            <w:tcW w:w="2438" w:type="dxa"/>
            <w:vAlign w:val="center"/>
          </w:tcPr>
          <w:p w14:paraId="06339E44">
            <w:pPr>
              <w:adjustRightInd w:val="0"/>
              <w:snapToGrid w:val="0"/>
              <w:ind w:left="-101" w:leftChars="-42"/>
              <w:jc w:val="center"/>
              <w:rPr>
                <w:rFonts w:ascii="宋体" w:cs="宋体"/>
              </w:rPr>
            </w:pPr>
            <w:r>
              <w:rPr>
                <w:rFonts w:hint="eastAsia" w:ascii="宋体" w:cs="宋体"/>
              </w:rPr>
              <w:t>项目</w:t>
            </w:r>
          </w:p>
        </w:tc>
        <w:tc>
          <w:tcPr>
            <w:tcW w:w="1827" w:type="dxa"/>
            <w:vAlign w:val="center"/>
          </w:tcPr>
          <w:p w14:paraId="7F8F4238">
            <w:pPr>
              <w:adjustRightInd w:val="0"/>
              <w:snapToGrid w:val="0"/>
              <w:ind w:left="-101" w:leftChars="-42"/>
              <w:jc w:val="center"/>
              <w:rPr>
                <w:rFonts w:ascii="宋体" w:cs="宋体"/>
              </w:rPr>
            </w:pPr>
            <w:r>
              <w:rPr>
                <w:rFonts w:hint="eastAsia" w:ascii="宋体" w:cs="宋体"/>
              </w:rPr>
              <w:t>招标文件</w:t>
            </w:r>
          </w:p>
          <w:p w14:paraId="141ED78F">
            <w:pPr>
              <w:adjustRightInd w:val="0"/>
              <w:snapToGrid w:val="0"/>
              <w:ind w:left="-101" w:leftChars="-42"/>
              <w:jc w:val="center"/>
              <w:rPr>
                <w:rFonts w:ascii="宋体" w:cs="宋体"/>
              </w:rPr>
            </w:pPr>
            <w:r>
              <w:rPr>
                <w:rFonts w:hint="eastAsia" w:ascii="宋体" w:cs="宋体"/>
              </w:rPr>
              <w:t>要求</w:t>
            </w:r>
          </w:p>
        </w:tc>
        <w:tc>
          <w:tcPr>
            <w:tcW w:w="2413" w:type="dxa"/>
            <w:vAlign w:val="center"/>
          </w:tcPr>
          <w:p w14:paraId="597E246C">
            <w:pPr>
              <w:adjustRightInd w:val="0"/>
              <w:snapToGrid w:val="0"/>
              <w:ind w:left="-101" w:leftChars="-42"/>
              <w:jc w:val="center"/>
              <w:rPr>
                <w:rFonts w:ascii="宋体" w:cs="宋体"/>
              </w:rPr>
            </w:pPr>
            <w:r>
              <w:rPr>
                <w:rFonts w:hint="eastAsia" w:ascii="宋体" w:cs="宋体"/>
              </w:rPr>
              <w:t>是否响应招标文件要求</w:t>
            </w:r>
          </w:p>
        </w:tc>
        <w:tc>
          <w:tcPr>
            <w:tcW w:w="2321" w:type="dxa"/>
            <w:vAlign w:val="center"/>
          </w:tcPr>
          <w:p w14:paraId="794E1210">
            <w:pPr>
              <w:adjustRightInd w:val="0"/>
              <w:snapToGrid w:val="0"/>
              <w:ind w:left="-101" w:leftChars="-42"/>
              <w:jc w:val="center"/>
              <w:rPr>
                <w:rFonts w:ascii="宋体" w:cs="宋体"/>
              </w:rPr>
            </w:pPr>
            <w:r>
              <w:rPr>
                <w:rFonts w:hint="eastAsia" w:ascii="宋体" w:cs="宋体"/>
              </w:rPr>
              <w:t>投标人的承诺或说明</w:t>
            </w:r>
          </w:p>
        </w:tc>
      </w:tr>
      <w:tr w14:paraId="0E2A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3B64E9CB">
            <w:pPr>
              <w:adjustRightInd w:val="0"/>
              <w:snapToGrid w:val="0"/>
              <w:ind w:left="-101" w:leftChars="-42"/>
              <w:jc w:val="center"/>
              <w:rPr>
                <w:rFonts w:ascii="宋体" w:cs="宋体"/>
              </w:rPr>
            </w:pPr>
            <w:r>
              <w:rPr>
                <w:rFonts w:hint="eastAsia" w:ascii="宋体" w:cs="宋体"/>
                <w:kern w:val="0"/>
              </w:rPr>
              <w:t>履约保证金</w:t>
            </w:r>
          </w:p>
        </w:tc>
        <w:tc>
          <w:tcPr>
            <w:tcW w:w="1827" w:type="dxa"/>
            <w:vAlign w:val="center"/>
          </w:tcPr>
          <w:p w14:paraId="1702466E">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475ED3E7">
            <w:pPr>
              <w:adjustRightInd w:val="0"/>
              <w:snapToGrid w:val="0"/>
              <w:ind w:left="-101" w:leftChars="-42"/>
              <w:jc w:val="center"/>
              <w:rPr>
                <w:rFonts w:ascii="宋体" w:cs="宋体"/>
              </w:rPr>
            </w:pPr>
          </w:p>
        </w:tc>
        <w:tc>
          <w:tcPr>
            <w:tcW w:w="2321" w:type="dxa"/>
            <w:vAlign w:val="center"/>
          </w:tcPr>
          <w:p w14:paraId="3DFECFF9">
            <w:pPr>
              <w:adjustRightInd w:val="0"/>
              <w:snapToGrid w:val="0"/>
              <w:ind w:left="-101" w:leftChars="-42"/>
              <w:jc w:val="center"/>
              <w:rPr>
                <w:rFonts w:ascii="宋体" w:cs="宋体"/>
              </w:rPr>
            </w:pPr>
          </w:p>
        </w:tc>
      </w:tr>
      <w:tr w14:paraId="42563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3FA60098">
            <w:pPr>
              <w:adjustRightInd w:val="0"/>
              <w:snapToGrid w:val="0"/>
              <w:ind w:left="-101" w:leftChars="-42"/>
              <w:jc w:val="center"/>
              <w:rPr>
                <w:rFonts w:ascii="宋体" w:cs="宋体"/>
              </w:rPr>
            </w:pPr>
            <w:r>
              <w:rPr>
                <w:rFonts w:hint="eastAsia" w:ascii="宋体" w:cs="宋体"/>
              </w:rPr>
              <w:t>交货时间</w:t>
            </w:r>
          </w:p>
        </w:tc>
        <w:tc>
          <w:tcPr>
            <w:tcW w:w="1827" w:type="dxa"/>
            <w:vAlign w:val="center"/>
          </w:tcPr>
          <w:p w14:paraId="0D87B580">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1E46BEF9">
            <w:pPr>
              <w:adjustRightInd w:val="0"/>
              <w:snapToGrid w:val="0"/>
              <w:ind w:left="-101" w:leftChars="-42"/>
              <w:jc w:val="center"/>
              <w:rPr>
                <w:rFonts w:ascii="宋体" w:cs="宋体"/>
              </w:rPr>
            </w:pPr>
          </w:p>
        </w:tc>
        <w:tc>
          <w:tcPr>
            <w:tcW w:w="2321" w:type="dxa"/>
            <w:vAlign w:val="center"/>
          </w:tcPr>
          <w:p w14:paraId="762B50A3">
            <w:pPr>
              <w:adjustRightInd w:val="0"/>
              <w:snapToGrid w:val="0"/>
              <w:ind w:left="-101" w:leftChars="-42"/>
              <w:jc w:val="center"/>
              <w:rPr>
                <w:rFonts w:ascii="宋体" w:cs="宋体"/>
              </w:rPr>
            </w:pPr>
          </w:p>
        </w:tc>
      </w:tr>
      <w:tr w14:paraId="78C61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72FE0811">
            <w:pPr>
              <w:adjustRightInd w:val="0"/>
              <w:snapToGrid w:val="0"/>
              <w:ind w:left="-101" w:leftChars="-42"/>
              <w:jc w:val="center"/>
              <w:rPr>
                <w:rFonts w:ascii="宋体" w:cs="宋体"/>
              </w:rPr>
            </w:pPr>
            <w:r>
              <w:rPr>
                <w:rFonts w:hint="eastAsia" w:ascii="宋体" w:cs="宋体"/>
              </w:rPr>
              <w:t>交货地点</w:t>
            </w:r>
          </w:p>
        </w:tc>
        <w:tc>
          <w:tcPr>
            <w:tcW w:w="1827" w:type="dxa"/>
            <w:vAlign w:val="center"/>
          </w:tcPr>
          <w:p w14:paraId="082E7075">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1E5679EB">
            <w:pPr>
              <w:adjustRightInd w:val="0"/>
              <w:snapToGrid w:val="0"/>
              <w:ind w:left="-101" w:leftChars="-42"/>
              <w:jc w:val="center"/>
              <w:rPr>
                <w:rFonts w:ascii="宋体" w:cs="宋体"/>
              </w:rPr>
            </w:pPr>
          </w:p>
        </w:tc>
        <w:tc>
          <w:tcPr>
            <w:tcW w:w="2321" w:type="dxa"/>
            <w:vAlign w:val="center"/>
          </w:tcPr>
          <w:p w14:paraId="7A10C7FD">
            <w:pPr>
              <w:adjustRightInd w:val="0"/>
              <w:snapToGrid w:val="0"/>
              <w:ind w:left="-101" w:leftChars="-42"/>
              <w:jc w:val="center"/>
              <w:rPr>
                <w:rFonts w:ascii="宋体" w:cs="宋体"/>
              </w:rPr>
            </w:pPr>
          </w:p>
        </w:tc>
      </w:tr>
      <w:tr w14:paraId="14D00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9" w:hRule="atLeast"/>
          <w:jc w:val="center"/>
        </w:trPr>
        <w:tc>
          <w:tcPr>
            <w:tcW w:w="2438" w:type="dxa"/>
            <w:vAlign w:val="center"/>
          </w:tcPr>
          <w:p w14:paraId="1F70CD8E">
            <w:pPr>
              <w:adjustRightInd w:val="0"/>
              <w:snapToGrid w:val="0"/>
              <w:ind w:left="-101" w:leftChars="-42"/>
              <w:jc w:val="center"/>
              <w:rPr>
                <w:rFonts w:ascii="宋体" w:cs="宋体"/>
              </w:rPr>
            </w:pPr>
            <w:r>
              <w:rPr>
                <w:rFonts w:hint="eastAsia" w:ascii="宋体" w:cs="宋体"/>
              </w:rPr>
              <w:t>质保期</w:t>
            </w:r>
          </w:p>
        </w:tc>
        <w:tc>
          <w:tcPr>
            <w:tcW w:w="1827" w:type="dxa"/>
            <w:vAlign w:val="center"/>
          </w:tcPr>
          <w:p w14:paraId="5CE1FC38">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7F21BD90">
            <w:pPr>
              <w:adjustRightInd w:val="0"/>
              <w:snapToGrid w:val="0"/>
              <w:ind w:left="-101" w:leftChars="-42"/>
              <w:jc w:val="center"/>
              <w:rPr>
                <w:rFonts w:ascii="宋体" w:cs="宋体"/>
              </w:rPr>
            </w:pPr>
          </w:p>
        </w:tc>
        <w:tc>
          <w:tcPr>
            <w:tcW w:w="2321" w:type="dxa"/>
            <w:vAlign w:val="center"/>
          </w:tcPr>
          <w:p w14:paraId="216CD4ED">
            <w:pPr>
              <w:adjustRightInd w:val="0"/>
              <w:snapToGrid w:val="0"/>
              <w:ind w:left="-101" w:leftChars="-42"/>
              <w:jc w:val="center"/>
              <w:rPr>
                <w:rFonts w:ascii="宋体" w:cs="宋体"/>
              </w:rPr>
            </w:pPr>
          </w:p>
        </w:tc>
      </w:tr>
      <w:tr w14:paraId="041C4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59B25709">
            <w:pPr>
              <w:adjustRightInd w:val="0"/>
              <w:snapToGrid w:val="0"/>
              <w:ind w:left="-101" w:leftChars="-42"/>
              <w:jc w:val="center"/>
              <w:rPr>
                <w:rFonts w:ascii="宋体" w:cs="宋体"/>
              </w:rPr>
            </w:pPr>
            <w:r>
              <w:rPr>
                <w:rFonts w:hint="eastAsia" w:ascii="宋体" w:cs="宋体"/>
              </w:rPr>
              <w:t>付款条件</w:t>
            </w:r>
          </w:p>
        </w:tc>
        <w:tc>
          <w:tcPr>
            <w:tcW w:w="1827" w:type="dxa"/>
            <w:vAlign w:val="center"/>
          </w:tcPr>
          <w:p w14:paraId="6020FB5A">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0C78F6AC">
            <w:pPr>
              <w:adjustRightInd w:val="0"/>
              <w:snapToGrid w:val="0"/>
              <w:ind w:left="-101" w:leftChars="-42"/>
              <w:jc w:val="center"/>
              <w:rPr>
                <w:rFonts w:ascii="宋体" w:cs="宋体"/>
              </w:rPr>
            </w:pPr>
          </w:p>
        </w:tc>
        <w:tc>
          <w:tcPr>
            <w:tcW w:w="2321" w:type="dxa"/>
            <w:vAlign w:val="center"/>
          </w:tcPr>
          <w:p w14:paraId="5231D553">
            <w:pPr>
              <w:adjustRightInd w:val="0"/>
              <w:snapToGrid w:val="0"/>
              <w:ind w:left="-101" w:leftChars="-42"/>
              <w:jc w:val="center"/>
              <w:rPr>
                <w:rFonts w:ascii="宋体" w:cs="宋体"/>
              </w:rPr>
            </w:pPr>
          </w:p>
        </w:tc>
      </w:tr>
      <w:tr w14:paraId="7C8E8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1299B3ED">
            <w:pPr>
              <w:adjustRightInd w:val="0"/>
              <w:snapToGrid w:val="0"/>
              <w:ind w:left="-101" w:leftChars="-42"/>
              <w:jc w:val="center"/>
              <w:rPr>
                <w:rFonts w:ascii="宋体" w:cs="宋体"/>
              </w:rPr>
            </w:pPr>
            <w:r>
              <w:rPr>
                <w:rFonts w:hint="eastAsia" w:ascii="宋体" w:cs="宋体"/>
              </w:rPr>
              <w:t>其他相关要求</w:t>
            </w:r>
          </w:p>
        </w:tc>
        <w:tc>
          <w:tcPr>
            <w:tcW w:w="1827" w:type="dxa"/>
            <w:vAlign w:val="center"/>
          </w:tcPr>
          <w:p w14:paraId="39385CBA">
            <w:pPr>
              <w:adjustRightInd w:val="0"/>
              <w:snapToGrid w:val="0"/>
              <w:ind w:left="-101" w:leftChars="-42"/>
              <w:jc w:val="center"/>
              <w:rPr>
                <w:rFonts w:ascii="宋体" w:cs="宋体"/>
              </w:rPr>
            </w:pPr>
            <w:r>
              <w:rPr>
                <w:rFonts w:hint="eastAsia" w:ascii="宋体" w:cs="宋体"/>
              </w:rPr>
              <w:t>详见招标文件</w:t>
            </w:r>
          </w:p>
        </w:tc>
        <w:tc>
          <w:tcPr>
            <w:tcW w:w="2413" w:type="dxa"/>
            <w:vAlign w:val="center"/>
          </w:tcPr>
          <w:p w14:paraId="31F76DF8">
            <w:pPr>
              <w:adjustRightInd w:val="0"/>
              <w:snapToGrid w:val="0"/>
              <w:ind w:left="-101" w:leftChars="-42"/>
              <w:jc w:val="center"/>
              <w:rPr>
                <w:rFonts w:ascii="宋体" w:cs="宋体"/>
              </w:rPr>
            </w:pPr>
          </w:p>
        </w:tc>
        <w:tc>
          <w:tcPr>
            <w:tcW w:w="2321" w:type="dxa"/>
            <w:vAlign w:val="center"/>
          </w:tcPr>
          <w:p w14:paraId="6B9B4260">
            <w:pPr>
              <w:adjustRightInd w:val="0"/>
              <w:snapToGrid w:val="0"/>
              <w:ind w:left="-101" w:leftChars="-42"/>
              <w:jc w:val="center"/>
              <w:rPr>
                <w:rFonts w:ascii="宋体" w:cs="宋体"/>
              </w:rPr>
            </w:pPr>
          </w:p>
        </w:tc>
      </w:tr>
      <w:tr w14:paraId="0A23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0" w:hRule="atLeast"/>
          <w:jc w:val="center"/>
        </w:trPr>
        <w:tc>
          <w:tcPr>
            <w:tcW w:w="2438" w:type="dxa"/>
            <w:vAlign w:val="center"/>
          </w:tcPr>
          <w:p w14:paraId="1E49CF8E">
            <w:pPr>
              <w:adjustRightInd w:val="0"/>
              <w:snapToGrid w:val="0"/>
              <w:ind w:left="-101" w:leftChars="-42"/>
              <w:jc w:val="center"/>
              <w:rPr>
                <w:rFonts w:ascii="宋体" w:cs="宋体"/>
              </w:rPr>
            </w:pPr>
            <w:r>
              <w:rPr>
                <w:rFonts w:hint="eastAsia" w:ascii="宋体" w:cs="宋体"/>
              </w:rPr>
              <w:t>....</w:t>
            </w:r>
          </w:p>
        </w:tc>
        <w:tc>
          <w:tcPr>
            <w:tcW w:w="1827" w:type="dxa"/>
            <w:vAlign w:val="center"/>
          </w:tcPr>
          <w:p w14:paraId="49FF5424">
            <w:pPr>
              <w:adjustRightInd w:val="0"/>
              <w:snapToGrid w:val="0"/>
              <w:ind w:left="-101" w:leftChars="-42"/>
              <w:jc w:val="center"/>
              <w:rPr>
                <w:rFonts w:ascii="宋体" w:cs="宋体"/>
              </w:rPr>
            </w:pPr>
          </w:p>
        </w:tc>
        <w:tc>
          <w:tcPr>
            <w:tcW w:w="2413" w:type="dxa"/>
            <w:vAlign w:val="center"/>
          </w:tcPr>
          <w:p w14:paraId="3EF9C571">
            <w:pPr>
              <w:adjustRightInd w:val="0"/>
              <w:snapToGrid w:val="0"/>
              <w:ind w:left="-101" w:leftChars="-42"/>
              <w:jc w:val="center"/>
              <w:rPr>
                <w:rFonts w:ascii="宋体" w:cs="宋体"/>
              </w:rPr>
            </w:pPr>
          </w:p>
        </w:tc>
        <w:tc>
          <w:tcPr>
            <w:tcW w:w="2321" w:type="dxa"/>
            <w:vAlign w:val="center"/>
          </w:tcPr>
          <w:p w14:paraId="7133E54C">
            <w:pPr>
              <w:adjustRightInd w:val="0"/>
              <w:snapToGrid w:val="0"/>
              <w:ind w:left="-101" w:leftChars="-42"/>
              <w:jc w:val="center"/>
              <w:rPr>
                <w:rFonts w:ascii="宋体" w:cs="宋体"/>
              </w:rPr>
            </w:pPr>
          </w:p>
        </w:tc>
      </w:tr>
    </w:tbl>
    <w:p w14:paraId="02C7867A">
      <w:pPr>
        <w:spacing w:line="360" w:lineRule="auto"/>
        <w:ind w:firstLine="470" w:firstLineChars="196"/>
        <w:rPr>
          <w:rFonts w:ascii="宋体" w:cs="宋体"/>
          <w:kern w:val="0"/>
        </w:rPr>
      </w:pPr>
      <w:r>
        <w:rPr>
          <w:rFonts w:hint="eastAsia" w:ascii="宋体" w:cs="宋体"/>
          <w:kern w:val="0"/>
        </w:rPr>
        <w:t>行数不够可自行添加。如各项商务条款已在投标方案中详细说明，则该表只需填写是否响应。不响应招标文件要求的，评标委员会有权作无效投标处理。未在投标文件中单独说明的，</w:t>
      </w:r>
      <w:r>
        <w:rPr>
          <w:rFonts w:hint="eastAsia" w:ascii="宋体" w:cs="宋体"/>
        </w:rPr>
        <w:t>供应商</w:t>
      </w:r>
      <w:r>
        <w:rPr>
          <w:rFonts w:hint="eastAsia" w:ascii="宋体" w:cs="宋体"/>
          <w:kern w:val="0"/>
        </w:rPr>
        <w:t>可在此表中承诺或说明。</w:t>
      </w:r>
    </w:p>
    <w:p w14:paraId="0A0654C3">
      <w:pPr>
        <w:adjustRightInd w:val="0"/>
        <w:snapToGrid w:val="0"/>
        <w:ind w:left="-101" w:leftChars="-42"/>
        <w:rPr>
          <w:rFonts w:ascii="宋体" w:cs="宋体"/>
          <w:kern w:val="0"/>
        </w:rPr>
      </w:pPr>
    </w:p>
    <w:p w14:paraId="3A240CD2">
      <w:pPr>
        <w:adjustRightInd w:val="0"/>
        <w:snapToGrid w:val="0"/>
        <w:ind w:left="-101" w:leftChars="-42"/>
        <w:rPr>
          <w:rFonts w:ascii="宋体" w:cs="宋体"/>
        </w:rPr>
      </w:pPr>
      <w:r>
        <w:rPr>
          <w:rFonts w:hint="eastAsia" w:ascii="宋体" w:cs="宋体"/>
          <w:kern w:val="0"/>
        </w:rPr>
        <w:t>法定代表人或其授权委托人签字：</w:t>
      </w:r>
    </w:p>
    <w:p w14:paraId="7E7C9B97">
      <w:pPr>
        <w:rPr>
          <w:rFonts w:ascii="宋体" w:cs="宋体"/>
        </w:rPr>
      </w:pPr>
    </w:p>
    <w:p w14:paraId="7EC9C015">
      <w:pPr>
        <w:rPr>
          <w:rFonts w:ascii="宋体" w:cs="宋体"/>
        </w:rPr>
      </w:pPr>
    </w:p>
    <w:p w14:paraId="7AA8F235">
      <w:pPr>
        <w:rPr>
          <w:rFonts w:ascii="宋体" w:cs="宋体"/>
        </w:rPr>
      </w:pPr>
    </w:p>
    <w:p w14:paraId="052BC7B1">
      <w:pPr>
        <w:pStyle w:val="14"/>
        <w:adjustRightInd w:val="0"/>
        <w:snapToGrid w:val="0"/>
        <w:spacing w:line="360" w:lineRule="auto"/>
        <w:ind w:firstLine="140"/>
        <w:rPr>
          <w:rFonts w:hAnsi="宋体" w:cs="宋体"/>
          <w:sz w:val="28"/>
          <w:szCs w:val="28"/>
          <w:u w:val="single"/>
        </w:rPr>
      </w:pPr>
      <w:r>
        <w:rPr>
          <w:rFonts w:hint="eastAsia" w:hAnsi="宋体" w:cs="宋体"/>
          <w:sz w:val="28"/>
          <w:szCs w:val="28"/>
        </w:rPr>
        <w:t>投 标 人 名 称  (盖章)：</w:t>
      </w:r>
    </w:p>
    <w:p w14:paraId="7B2B7D05">
      <w:pPr>
        <w:adjustRightInd w:val="0"/>
        <w:snapToGrid w:val="0"/>
        <w:spacing w:line="360" w:lineRule="auto"/>
        <w:ind w:firstLine="140"/>
        <w:rPr>
          <w:rFonts w:ascii="宋体" w:cs="宋体"/>
          <w:sz w:val="28"/>
          <w:szCs w:val="28"/>
        </w:rPr>
      </w:pPr>
      <w:r>
        <w:rPr>
          <w:rFonts w:hint="eastAsia" w:ascii="宋体" w:cs="宋体"/>
          <w:sz w:val="28"/>
          <w:szCs w:val="28"/>
        </w:rPr>
        <w:t>法定代表人或法定代表授权人(签字或盖章)：</w:t>
      </w:r>
    </w:p>
    <w:p w14:paraId="4FCF2F88">
      <w:pPr>
        <w:spacing w:line="360" w:lineRule="auto"/>
        <w:ind w:firstLine="140"/>
        <w:rPr>
          <w:rFonts w:ascii="宋体" w:cs="宋体"/>
          <w:sz w:val="28"/>
          <w:szCs w:val="28"/>
        </w:rPr>
      </w:pPr>
      <w:r>
        <w:rPr>
          <w:rFonts w:hint="eastAsia" w:ascii="宋体" w:cs="宋体"/>
          <w:sz w:val="28"/>
          <w:szCs w:val="28"/>
        </w:rPr>
        <w:t>日期：     年   月   日</w:t>
      </w:r>
    </w:p>
    <w:p w14:paraId="0A959387">
      <w:pPr>
        <w:pStyle w:val="2"/>
        <w:ind w:left="480" w:firstLine="480"/>
        <w:rPr>
          <w:rFonts w:cs="宋体"/>
        </w:rPr>
      </w:pPr>
    </w:p>
    <w:p w14:paraId="3CBC6A0A">
      <w:pPr>
        <w:ind w:firstLine="7384" w:firstLineChars="2043"/>
        <w:rPr>
          <w:rFonts w:ascii="宋体" w:cs="宋体"/>
          <w:b/>
          <w:sz w:val="36"/>
          <w:szCs w:val="36"/>
        </w:rPr>
      </w:pPr>
    </w:p>
    <w:p w14:paraId="57D5B086">
      <w:pPr>
        <w:pStyle w:val="2"/>
        <w:ind w:left="480" w:firstLine="723"/>
        <w:rPr>
          <w:rFonts w:ascii="宋体" w:cs="宋体"/>
          <w:b/>
          <w:sz w:val="36"/>
          <w:szCs w:val="36"/>
        </w:rPr>
      </w:pPr>
    </w:p>
    <w:p w14:paraId="20119BC0">
      <w:pPr>
        <w:ind w:firstLine="181"/>
        <w:rPr>
          <w:rFonts w:ascii="宋体" w:cs="宋体"/>
          <w:b/>
          <w:sz w:val="36"/>
          <w:szCs w:val="36"/>
        </w:rPr>
      </w:pPr>
    </w:p>
    <w:p w14:paraId="3BA03231">
      <w:pPr>
        <w:pStyle w:val="2"/>
        <w:ind w:left="480" w:firstLine="723"/>
        <w:rPr>
          <w:rFonts w:ascii="宋体" w:cs="宋体"/>
          <w:b/>
          <w:sz w:val="36"/>
          <w:szCs w:val="36"/>
        </w:rPr>
      </w:pPr>
    </w:p>
    <w:p w14:paraId="44F5B073"/>
    <w:p w14:paraId="082BEA70">
      <w:pPr>
        <w:spacing w:line="360" w:lineRule="auto"/>
        <w:ind w:firstLine="140"/>
        <w:rPr>
          <w:rFonts w:ascii="宋体" w:cs="宋体"/>
          <w:sz w:val="32"/>
          <w:szCs w:val="32"/>
        </w:rPr>
      </w:pPr>
      <w:r>
        <w:rPr>
          <w:rFonts w:hint="eastAsia" w:ascii="宋体" w:cs="宋体"/>
          <w:sz w:val="28"/>
          <w:szCs w:val="28"/>
        </w:rPr>
        <w:t xml:space="preserve"> 附件7 </w:t>
      </w:r>
    </w:p>
    <w:p w14:paraId="6869C3BB">
      <w:pPr>
        <w:spacing w:line="360" w:lineRule="auto"/>
        <w:ind w:firstLine="3313" w:firstLineChars="1100"/>
        <w:rPr>
          <w:rFonts w:ascii="宋体" w:cs="宋体"/>
          <w:sz w:val="28"/>
          <w:szCs w:val="28"/>
        </w:rPr>
      </w:pPr>
      <w:r>
        <w:rPr>
          <w:rFonts w:hint="eastAsia" w:ascii="宋体"/>
          <w:b/>
          <w:sz w:val="30"/>
          <w:szCs w:val="30"/>
        </w:rPr>
        <w:t>技术偏离表</w:t>
      </w:r>
    </w:p>
    <w:p w14:paraId="1793A8F2">
      <w:pPr>
        <w:snapToGrid w:val="0"/>
        <w:spacing w:line="400" w:lineRule="exact"/>
        <w:ind w:firstLine="160"/>
        <w:rPr>
          <w:rFonts w:ascii="宋体" w:cs="宋体"/>
          <w:kern w:val="0"/>
          <w:sz w:val="32"/>
          <w:szCs w:val="32"/>
        </w:rPr>
      </w:pPr>
    </w:p>
    <w:tbl>
      <w:tblPr>
        <w:tblStyle w:val="2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784"/>
        <w:gridCol w:w="2064"/>
        <w:gridCol w:w="1826"/>
        <w:gridCol w:w="1355"/>
      </w:tblGrid>
      <w:tr w14:paraId="2E6E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322" w:type="dxa"/>
            <w:vMerge w:val="restart"/>
            <w:vAlign w:val="center"/>
          </w:tcPr>
          <w:p w14:paraId="32D3868E">
            <w:pPr>
              <w:jc w:val="center"/>
              <w:rPr>
                <w:rFonts w:ascii="宋体"/>
              </w:rPr>
            </w:pPr>
            <w:r>
              <w:rPr>
                <w:rFonts w:hint="eastAsia" w:ascii="宋体"/>
              </w:rPr>
              <w:t>名称</w:t>
            </w:r>
          </w:p>
        </w:tc>
        <w:tc>
          <w:tcPr>
            <w:tcW w:w="2784" w:type="dxa"/>
            <w:vMerge w:val="restart"/>
            <w:vAlign w:val="center"/>
          </w:tcPr>
          <w:p w14:paraId="0BB3D044">
            <w:pPr>
              <w:pStyle w:val="4"/>
              <w:ind w:firstLine="105"/>
              <w:jc w:val="both"/>
              <w:rPr>
                <w:rFonts w:ascii="宋体"/>
                <w:szCs w:val="24"/>
              </w:rPr>
            </w:pPr>
            <w:r>
              <w:rPr>
                <w:rFonts w:hint="eastAsia" w:ascii="宋体" w:eastAsia="宋体"/>
                <w:sz w:val="21"/>
                <w:szCs w:val="24"/>
              </w:rPr>
              <w:t>采购要求（详见第三章）</w:t>
            </w:r>
          </w:p>
        </w:tc>
        <w:tc>
          <w:tcPr>
            <w:tcW w:w="2064" w:type="dxa"/>
            <w:vMerge w:val="restart"/>
            <w:vAlign w:val="center"/>
          </w:tcPr>
          <w:p w14:paraId="7665429C">
            <w:pPr>
              <w:ind w:firstLine="120"/>
              <w:jc w:val="center"/>
              <w:rPr>
                <w:rFonts w:ascii="宋体"/>
              </w:rPr>
            </w:pPr>
            <w:r>
              <w:rPr>
                <w:rFonts w:hint="eastAsia" w:ascii="宋体"/>
              </w:rPr>
              <w:t>投标响应</w:t>
            </w:r>
          </w:p>
        </w:tc>
        <w:tc>
          <w:tcPr>
            <w:tcW w:w="1826" w:type="dxa"/>
            <w:vAlign w:val="center"/>
          </w:tcPr>
          <w:p w14:paraId="1027E4E1">
            <w:pPr>
              <w:jc w:val="center"/>
              <w:rPr>
                <w:rFonts w:ascii="宋体"/>
              </w:rPr>
            </w:pPr>
            <w:r>
              <w:rPr>
                <w:rFonts w:hint="eastAsia" w:ascii="宋体"/>
              </w:rPr>
              <w:t>偏离情况</w:t>
            </w:r>
          </w:p>
        </w:tc>
        <w:tc>
          <w:tcPr>
            <w:tcW w:w="1355" w:type="dxa"/>
            <w:vMerge w:val="restart"/>
            <w:vAlign w:val="center"/>
          </w:tcPr>
          <w:p w14:paraId="55E593BF">
            <w:pPr>
              <w:jc w:val="center"/>
              <w:rPr>
                <w:rFonts w:ascii="宋体"/>
              </w:rPr>
            </w:pPr>
            <w:r>
              <w:rPr>
                <w:rFonts w:hint="eastAsia" w:ascii="宋体"/>
              </w:rPr>
              <w:t>说明</w:t>
            </w:r>
          </w:p>
        </w:tc>
      </w:tr>
      <w:tr w14:paraId="1E28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322" w:type="dxa"/>
            <w:vMerge w:val="continue"/>
            <w:vAlign w:val="center"/>
          </w:tcPr>
          <w:p w14:paraId="12743692">
            <w:pPr>
              <w:jc w:val="center"/>
            </w:pPr>
          </w:p>
        </w:tc>
        <w:tc>
          <w:tcPr>
            <w:tcW w:w="2784" w:type="dxa"/>
            <w:vMerge w:val="continue"/>
            <w:vAlign w:val="center"/>
          </w:tcPr>
          <w:p w14:paraId="00D5AABF">
            <w:pPr>
              <w:jc w:val="center"/>
            </w:pPr>
          </w:p>
        </w:tc>
        <w:tc>
          <w:tcPr>
            <w:tcW w:w="2064" w:type="dxa"/>
            <w:vMerge w:val="continue"/>
            <w:vAlign w:val="center"/>
          </w:tcPr>
          <w:p w14:paraId="7F38A021">
            <w:pPr>
              <w:jc w:val="center"/>
            </w:pPr>
          </w:p>
        </w:tc>
        <w:tc>
          <w:tcPr>
            <w:tcW w:w="1826" w:type="dxa"/>
            <w:vAlign w:val="center"/>
          </w:tcPr>
          <w:p w14:paraId="68174900">
            <w:pPr>
              <w:jc w:val="center"/>
              <w:rPr>
                <w:rFonts w:ascii="宋体"/>
              </w:rPr>
            </w:pPr>
            <w:r>
              <w:rPr>
                <w:rFonts w:hint="eastAsia" w:ascii="宋体"/>
              </w:rPr>
              <w:t>正偏离、负偏离或符合</w:t>
            </w:r>
          </w:p>
        </w:tc>
        <w:tc>
          <w:tcPr>
            <w:tcW w:w="1355" w:type="dxa"/>
            <w:vMerge w:val="continue"/>
            <w:vAlign w:val="center"/>
          </w:tcPr>
          <w:p w14:paraId="65BB08E7">
            <w:pPr>
              <w:jc w:val="center"/>
              <w:rPr>
                <w:rFonts w:ascii="宋体"/>
              </w:rPr>
            </w:pPr>
          </w:p>
        </w:tc>
      </w:tr>
      <w:tr w14:paraId="5A9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3888FA86">
            <w:pPr>
              <w:jc w:val="center"/>
              <w:rPr>
                <w:rFonts w:ascii="宋体"/>
              </w:rPr>
            </w:pPr>
          </w:p>
        </w:tc>
        <w:tc>
          <w:tcPr>
            <w:tcW w:w="2784" w:type="dxa"/>
            <w:vAlign w:val="center"/>
          </w:tcPr>
          <w:p w14:paraId="5E3CDBE7">
            <w:pPr>
              <w:ind w:firstLine="120"/>
              <w:jc w:val="center"/>
              <w:rPr>
                <w:rFonts w:ascii="宋体"/>
              </w:rPr>
            </w:pPr>
          </w:p>
        </w:tc>
        <w:tc>
          <w:tcPr>
            <w:tcW w:w="2064" w:type="dxa"/>
            <w:vAlign w:val="center"/>
          </w:tcPr>
          <w:p w14:paraId="7C3A9B77">
            <w:pPr>
              <w:ind w:firstLine="120"/>
              <w:jc w:val="center"/>
              <w:rPr>
                <w:rFonts w:ascii="宋体"/>
              </w:rPr>
            </w:pPr>
          </w:p>
        </w:tc>
        <w:tc>
          <w:tcPr>
            <w:tcW w:w="1826" w:type="dxa"/>
            <w:vAlign w:val="center"/>
          </w:tcPr>
          <w:p w14:paraId="5661F790">
            <w:pPr>
              <w:ind w:firstLine="120"/>
              <w:jc w:val="center"/>
              <w:rPr>
                <w:rFonts w:ascii="宋体"/>
              </w:rPr>
            </w:pPr>
          </w:p>
        </w:tc>
        <w:tc>
          <w:tcPr>
            <w:tcW w:w="1355" w:type="dxa"/>
            <w:vAlign w:val="center"/>
          </w:tcPr>
          <w:p w14:paraId="7387E941">
            <w:pPr>
              <w:ind w:firstLine="120"/>
              <w:jc w:val="center"/>
              <w:rPr>
                <w:rFonts w:ascii="宋体"/>
              </w:rPr>
            </w:pPr>
          </w:p>
        </w:tc>
      </w:tr>
      <w:tr w14:paraId="5068E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7B14FF32">
            <w:pPr>
              <w:jc w:val="center"/>
              <w:rPr>
                <w:rFonts w:ascii="宋体"/>
              </w:rPr>
            </w:pPr>
          </w:p>
        </w:tc>
        <w:tc>
          <w:tcPr>
            <w:tcW w:w="2784" w:type="dxa"/>
            <w:vAlign w:val="center"/>
          </w:tcPr>
          <w:p w14:paraId="202F8832">
            <w:pPr>
              <w:ind w:firstLine="120"/>
              <w:jc w:val="center"/>
              <w:rPr>
                <w:rFonts w:ascii="宋体"/>
              </w:rPr>
            </w:pPr>
          </w:p>
        </w:tc>
        <w:tc>
          <w:tcPr>
            <w:tcW w:w="2064" w:type="dxa"/>
            <w:vAlign w:val="center"/>
          </w:tcPr>
          <w:p w14:paraId="5FDE842B">
            <w:pPr>
              <w:ind w:firstLine="120"/>
              <w:jc w:val="center"/>
              <w:rPr>
                <w:rFonts w:ascii="宋体"/>
              </w:rPr>
            </w:pPr>
          </w:p>
        </w:tc>
        <w:tc>
          <w:tcPr>
            <w:tcW w:w="1826" w:type="dxa"/>
            <w:vAlign w:val="center"/>
          </w:tcPr>
          <w:p w14:paraId="7AC15209">
            <w:pPr>
              <w:ind w:firstLine="120"/>
              <w:jc w:val="center"/>
              <w:rPr>
                <w:rFonts w:ascii="宋体"/>
              </w:rPr>
            </w:pPr>
          </w:p>
        </w:tc>
        <w:tc>
          <w:tcPr>
            <w:tcW w:w="1355" w:type="dxa"/>
            <w:vAlign w:val="center"/>
          </w:tcPr>
          <w:p w14:paraId="5577460E">
            <w:pPr>
              <w:ind w:firstLine="120"/>
              <w:jc w:val="center"/>
              <w:rPr>
                <w:rFonts w:ascii="宋体"/>
              </w:rPr>
            </w:pPr>
          </w:p>
        </w:tc>
      </w:tr>
      <w:tr w14:paraId="46C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3AD9E60A">
            <w:pPr>
              <w:jc w:val="center"/>
              <w:rPr>
                <w:rFonts w:ascii="宋体"/>
              </w:rPr>
            </w:pPr>
          </w:p>
        </w:tc>
        <w:tc>
          <w:tcPr>
            <w:tcW w:w="2784" w:type="dxa"/>
            <w:vAlign w:val="center"/>
          </w:tcPr>
          <w:p w14:paraId="721178F1">
            <w:pPr>
              <w:ind w:firstLine="120"/>
              <w:jc w:val="center"/>
              <w:rPr>
                <w:rFonts w:ascii="宋体"/>
              </w:rPr>
            </w:pPr>
          </w:p>
        </w:tc>
        <w:tc>
          <w:tcPr>
            <w:tcW w:w="2064" w:type="dxa"/>
            <w:vAlign w:val="center"/>
          </w:tcPr>
          <w:p w14:paraId="30E791DE">
            <w:pPr>
              <w:ind w:firstLine="120"/>
              <w:jc w:val="center"/>
              <w:rPr>
                <w:rFonts w:ascii="宋体"/>
              </w:rPr>
            </w:pPr>
          </w:p>
        </w:tc>
        <w:tc>
          <w:tcPr>
            <w:tcW w:w="1826" w:type="dxa"/>
            <w:vAlign w:val="center"/>
          </w:tcPr>
          <w:p w14:paraId="7BBDDC32">
            <w:pPr>
              <w:ind w:firstLine="120"/>
              <w:jc w:val="center"/>
              <w:rPr>
                <w:rFonts w:ascii="宋体"/>
              </w:rPr>
            </w:pPr>
          </w:p>
        </w:tc>
        <w:tc>
          <w:tcPr>
            <w:tcW w:w="1355" w:type="dxa"/>
            <w:vAlign w:val="center"/>
          </w:tcPr>
          <w:p w14:paraId="2D9C3D5E">
            <w:pPr>
              <w:ind w:firstLine="120"/>
              <w:jc w:val="center"/>
              <w:rPr>
                <w:rFonts w:ascii="宋体"/>
              </w:rPr>
            </w:pPr>
          </w:p>
        </w:tc>
      </w:tr>
      <w:tr w14:paraId="17AA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123B3EA5">
            <w:pPr>
              <w:jc w:val="center"/>
              <w:rPr>
                <w:rFonts w:ascii="宋体"/>
              </w:rPr>
            </w:pPr>
          </w:p>
        </w:tc>
        <w:tc>
          <w:tcPr>
            <w:tcW w:w="2784" w:type="dxa"/>
            <w:vAlign w:val="center"/>
          </w:tcPr>
          <w:p w14:paraId="038C49AE">
            <w:pPr>
              <w:ind w:firstLine="120"/>
              <w:jc w:val="center"/>
              <w:rPr>
                <w:rFonts w:ascii="宋体"/>
              </w:rPr>
            </w:pPr>
          </w:p>
        </w:tc>
        <w:tc>
          <w:tcPr>
            <w:tcW w:w="2064" w:type="dxa"/>
            <w:vAlign w:val="center"/>
          </w:tcPr>
          <w:p w14:paraId="1189EFD2">
            <w:pPr>
              <w:ind w:firstLine="120"/>
              <w:jc w:val="center"/>
              <w:rPr>
                <w:rFonts w:ascii="宋体"/>
              </w:rPr>
            </w:pPr>
          </w:p>
        </w:tc>
        <w:tc>
          <w:tcPr>
            <w:tcW w:w="1826" w:type="dxa"/>
            <w:vAlign w:val="center"/>
          </w:tcPr>
          <w:p w14:paraId="01F30C85">
            <w:pPr>
              <w:ind w:firstLine="120"/>
              <w:jc w:val="center"/>
              <w:rPr>
                <w:rFonts w:ascii="宋体"/>
              </w:rPr>
            </w:pPr>
          </w:p>
        </w:tc>
        <w:tc>
          <w:tcPr>
            <w:tcW w:w="1355" w:type="dxa"/>
            <w:vAlign w:val="center"/>
          </w:tcPr>
          <w:p w14:paraId="6AA7DD48">
            <w:pPr>
              <w:ind w:firstLine="120"/>
              <w:jc w:val="center"/>
              <w:rPr>
                <w:rFonts w:ascii="宋体"/>
              </w:rPr>
            </w:pPr>
          </w:p>
        </w:tc>
      </w:tr>
      <w:tr w14:paraId="02EC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47645845">
            <w:pPr>
              <w:jc w:val="center"/>
              <w:rPr>
                <w:rFonts w:ascii="宋体"/>
              </w:rPr>
            </w:pPr>
          </w:p>
        </w:tc>
        <w:tc>
          <w:tcPr>
            <w:tcW w:w="2784" w:type="dxa"/>
            <w:vAlign w:val="center"/>
          </w:tcPr>
          <w:p w14:paraId="7A898B48">
            <w:pPr>
              <w:ind w:firstLine="120"/>
              <w:jc w:val="center"/>
              <w:rPr>
                <w:rFonts w:ascii="宋体"/>
              </w:rPr>
            </w:pPr>
          </w:p>
        </w:tc>
        <w:tc>
          <w:tcPr>
            <w:tcW w:w="2064" w:type="dxa"/>
            <w:vAlign w:val="center"/>
          </w:tcPr>
          <w:p w14:paraId="24AA51C0">
            <w:pPr>
              <w:ind w:firstLine="120"/>
              <w:jc w:val="center"/>
              <w:rPr>
                <w:rFonts w:ascii="宋体"/>
              </w:rPr>
            </w:pPr>
          </w:p>
        </w:tc>
        <w:tc>
          <w:tcPr>
            <w:tcW w:w="1826" w:type="dxa"/>
            <w:vAlign w:val="center"/>
          </w:tcPr>
          <w:p w14:paraId="5E1F6A61">
            <w:pPr>
              <w:ind w:firstLine="120"/>
              <w:jc w:val="center"/>
              <w:rPr>
                <w:rFonts w:ascii="宋体"/>
              </w:rPr>
            </w:pPr>
          </w:p>
        </w:tc>
        <w:tc>
          <w:tcPr>
            <w:tcW w:w="1355" w:type="dxa"/>
            <w:vAlign w:val="center"/>
          </w:tcPr>
          <w:p w14:paraId="48270E32">
            <w:pPr>
              <w:ind w:firstLine="120"/>
              <w:jc w:val="center"/>
              <w:rPr>
                <w:rFonts w:ascii="宋体"/>
              </w:rPr>
            </w:pPr>
          </w:p>
        </w:tc>
      </w:tr>
      <w:tr w14:paraId="4851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7B4653AA">
            <w:pPr>
              <w:jc w:val="center"/>
              <w:rPr>
                <w:rFonts w:ascii="宋体"/>
              </w:rPr>
            </w:pPr>
          </w:p>
        </w:tc>
        <w:tc>
          <w:tcPr>
            <w:tcW w:w="2784" w:type="dxa"/>
            <w:vAlign w:val="center"/>
          </w:tcPr>
          <w:p w14:paraId="2CB3868A">
            <w:pPr>
              <w:ind w:firstLine="120"/>
              <w:jc w:val="center"/>
              <w:rPr>
                <w:rFonts w:ascii="宋体"/>
              </w:rPr>
            </w:pPr>
          </w:p>
        </w:tc>
        <w:tc>
          <w:tcPr>
            <w:tcW w:w="2064" w:type="dxa"/>
            <w:vAlign w:val="center"/>
          </w:tcPr>
          <w:p w14:paraId="657265FC">
            <w:pPr>
              <w:ind w:firstLine="120"/>
              <w:jc w:val="center"/>
              <w:rPr>
                <w:rFonts w:ascii="宋体"/>
              </w:rPr>
            </w:pPr>
          </w:p>
        </w:tc>
        <w:tc>
          <w:tcPr>
            <w:tcW w:w="1826" w:type="dxa"/>
            <w:vAlign w:val="center"/>
          </w:tcPr>
          <w:p w14:paraId="3EEC202B">
            <w:pPr>
              <w:ind w:firstLine="120"/>
              <w:jc w:val="center"/>
              <w:rPr>
                <w:rFonts w:ascii="宋体"/>
              </w:rPr>
            </w:pPr>
          </w:p>
        </w:tc>
        <w:tc>
          <w:tcPr>
            <w:tcW w:w="1355" w:type="dxa"/>
            <w:vAlign w:val="center"/>
          </w:tcPr>
          <w:p w14:paraId="461D9BB2">
            <w:pPr>
              <w:ind w:firstLine="120"/>
              <w:jc w:val="center"/>
              <w:rPr>
                <w:rFonts w:ascii="宋体"/>
              </w:rPr>
            </w:pPr>
          </w:p>
        </w:tc>
      </w:tr>
      <w:tr w14:paraId="2755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0FD50A62">
            <w:pPr>
              <w:jc w:val="center"/>
              <w:rPr>
                <w:rFonts w:ascii="宋体"/>
              </w:rPr>
            </w:pPr>
          </w:p>
        </w:tc>
        <w:tc>
          <w:tcPr>
            <w:tcW w:w="2784" w:type="dxa"/>
            <w:vAlign w:val="center"/>
          </w:tcPr>
          <w:p w14:paraId="6B5BA0F8">
            <w:pPr>
              <w:ind w:firstLine="120"/>
              <w:jc w:val="center"/>
              <w:rPr>
                <w:rFonts w:ascii="宋体"/>
              </w:rPr>
            </w:pPr>
          </w:p>
        </w:tc>
        <w:tc>
          <w:tcPr>
            <w:tcW w:w="2064" w:type="dxa"/>
            <w:vAlign w:val="center"/>
          </w:tcPr>
          <w:p w14:paraId="447D3508">
            <w:pPr>
              <w:ind w:firstLine="120"/>
              <w:jc w:val="center"/>
              <w:rPr>
                <w:rFonts w:ascii="宋体"/>
              </w:rPr>
            </w:pPr>
          </w:p>
        </w:tc>
        <w:tc>
          <w:tcPr>
            <w:tcW w:w="1826" w:type="dxa"/>
            <w:vAlign w:val="center"/>
          </w:tcPr>
          <w:p w14:paraId="6EF38698">
            <w:pPr>
              <w:ind w:firstLine="120"/>
              <w:jc w:val="center"/>
              <w:rPr>
                <w:rFonts w:ascii="宋体"/>
              </w:rPr>
            </w:pPr>
          </w:p>
        </w:tc>
        <w:tc>
          <w:tcPr>
            <w:tcW w:w="1355" w:type="dxa"/>
            <w:vAlign w:val="center"/>
          </w:tcPr>
          <w:p w14:paraId="3D295A7C">
            <w:pPr>
              <w:ind w:firstLine="120"/>
              <w:jc w:val="center"/>
              <w:rPr>
                <w:rFonts w:ascii="宋体"/>
              </w:rPr>
            </w:pPr>
          </w:p>
        </w:tc>
      </w:tr>
      <w:tr w14:paraId="6DD6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5E58137A">
            <w:pPr>
              <w:jc w:val="center"/>
              <w:rPr>
                <w:rFonts w:ascii="宋体"/>
              </w:rPr>
            </w:pPr>
          </w:p>
        </w:tc>
        <w:tc>
          <w:tcPr>
            <w:tcW w:w="2784" w:type="dxa"/>
            <w:vAlign w:val="center"/>
          </w:tcPr>
          <w:p w14:paraId="4D793742">
            <w:pPr>
              <w:ind w:firstLine="120"/>
              <w:jc w:val="center"/>
              <w:rPr>
                <w:rFonts w:ascii="宋体"/>
              </w:rPr>
            </w:pPr>
          </w:p>
        </w:tc>
        <w:tc>
          <w:tcPr>
            <w:tcW w:w="2064" w:type="dxa"/>
            <w:vAlign w:val="center"/>
          </w:tcPr>
          <w:p w14:paraId="115BF980">
            <w:pPr>
              <w:ind w:firstLine="120"/>
              <w:jc w:val="center"/>
              <w:rPr>
                <w:rFonts w:ascii="宋体"/>
              </w:rPr>
            </w:pPr>
          </w:p>
        </w:tc>
        <w:tc>
          <w:tcPr>
            <w:tcW w:w="1826" w:type="dxa"/>
            <w:vAlign w:val="center"/>
          </w:tcPr>
          <w:p w14:paraId="6B4A7ABB">
            <w:pPr>
              <w:ind w:firstLine="120"/>
              <w:jc w:val="center"/>
              <w:rPr>
                <w:rFonts w:ascii="宋体"/>
              </w:rPr>
            </w:pPr>
          </w:p>
        </w:tc>
        <w:tc>
          <w:tcPr>
            <w:tcW w:w="1355" w:type="dxa"/>
            <w:vAlign w:val="center"/>
          </w:tcPr>
          <w:p w14:paraId="784B127A">
            <w:pPr>
              <w:ind w:firstLine="120"/>
              <w:jc w:val="center"/>
              <w:rPr>
                <w:rFonts w:ascii="宋体"/>
              </w:rPr>
            </w:pPr>
          </w:p>
        </w:tc>
      </w:tr>
      <w:tr w14:paraId="6CCB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7404E55A">
            <w:pPr>
              <w:jc w:val="center"/>
              <w:rPr>
                <w:rFonts w:ascii="宋体"/>
              </w:rPr>
            </w:pPr>
          </w:p>
        </w:tc>
        <w:tc>
          <w:tcPr>
            <w:tcW w:w="2784" w:type="dxa"/>
            <w:vAlign w:val="center"/>
          </w:tcPr>
          <w:p w14:paraId="1D3DD69D">
            <w:pPr>
              <w:ind w:firstLine="120"/>
              <w:jc w:val="center"/>
              <w:rPr>
                <w:rFonts w:ascii="宋体"/>
              </w:rPr>
            </w:pPr>
          </w:p>
        </w:tc>
        <w:tc>
          <w:tcPr>
            <w:tcW w:w="2064" w:type="dxa"/>
            <w:vAlign w:val="center"/>
          </w:tcPr>
          <w:p w14:paraId="41A74A46">
            <w:pPr>
              <w:ind w:firstLine="120"/>
              <w:jc w:val="center"/>
              <w:rPr>
                <w:rFonts w:ascii="宋体"/>
              </w:rPr>
            </w:pPr>
          </w:p>
        </w:tc>
        <w:tc>
          <w:tcPr>
            <w:tcW w:w="1826" w:type="dxa"/>
            <w:vAlign w:val="center"/>
          </w:tcPr>
          <w:p w14:paraId="72A875C8">
            <w:pPr>
              <w:ind w:firstLine="120"/>
              <w:jc w:val="center"/>
              <w:rPr>
                <w:rFonts w:ascii="宋体"/>
              </w:rPr>
            </w:pPr>
          </w:p>
        </w:tc>
        <w:tc>
          <w:tcPr>
            <w:tcW w:w="1355" w:type="dxa"/>
            <w:vAlign w:val="center"/>
          </w:tcPr>
          <w:p w14:paraId="4D904C6E">
            <w:pPr>
              <w:ind w:firstLine="120"/>
              <w:jc w:val="center"/>
              <w:rPr>
                <w:rFonts w:ascii="宋体"/>
              </w:rPr>
            </w:pPr>
          </w:p>
        </w:tc>
      </w:tr>
      <w:tr w14:paraId="7ACA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19E8EA37">
            <w:pPr>
              <w:jc w:val="center"/>
              <w:rPr>
                <w:rFonts w:ascii="宋体"/>
              </w:rPr>
            </w:pPr>
          </w:p>
        </w:tc>
        <w:tc>
          <w:tcPr>
            <w:tcW w:w="2784" w:type="dxa"/>
            <w:vAlign w:val="center"/>
          </w:tcPr>
          <w:p w14:paraId="077BDBDB">
            <w:pPr>
              <w:ind w:firstLine="120"/>
              <w:jc w:val="center"/>
              <w:rPr>
                <w:rFonts w:ascii="宋体"/>
              </w:rPr>
            </w:pPr>
          </w:p>
        </w:tc>
        <w:tc>
          <w:tcPr>
            <w:tcW w:w="2064" w:type="dxa"/>
            <w:vAlign w:val="center"/>
          </w:tcPr>
          <w:p w14:paraId="1DE9B7F9">
            <w:pPr>
              <w:ind w:firstLine="120"/>
              <w:jc w:val="center"/>
              <w:rPr>
                <w:rFonts w:ascii="宋体"/>
              </w:rPr>
            </w:pPr>
          </w:p>
        </w:tc>
        <w:tc>
          <w:tcPr>
            <w:tcW w:w="1826" w:type="dxa"/>
            <w:vAlign w:val="center"/>
          </w:tcPr>
          <w:p w14:paraId="44140D9A">
            <w:pPr>
              <w:ind w:firstLine="120"/>
              <w:jc w:val="center"/>
              <w:rPr>
                <w:rFonts w:ascii="宋体"/>
              </w:rPr>
            </w:pPr>
          </w:p>
        </w:tc>
        <w:tc>
          <w:tcPr>
            <w:tcW w:w="1355" w:type="dxa"/>
            <w:vAlign w:val="center"/>
          </w:tcPr>
          <w:p w14:paraId="252D20E9">
            <w:pPr>
              <w:ind w:firstLine="120"/>
              <w:jc w:val="center"/>
              <w:rPr>
                <w:rFonts w:ascii="宋体"/>
              </w:rPr>
            </w:pPr>
          </w:p>
        </w:tc>
      </w:tr>
      <w:tr w14:paraId="37F2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322" w:type="dxa"/>
            <w:vAlign w:val="center"/>
          </w:tcPr>
          <w:p w14:paraId="68CBE8EE">
            <w:pPr>
              <w:jc w:val="center"/>
              <w:rPr>
                <w:rFonts w:ascii="宋体"/>
              </w:rPr>
            </w:pPr>
          </w:p>
        </w:tc>
        <w:tc>
          <w:tcPr>
            <w:tcW w:w="2784" w:type="dxa"/>
            <w:vAlign w:val="center"/>
          </w:tcPr>
          <w:p w14:paraId="27F39FBE">
            <w:pPr>
              <w:ind w:firstLine="120"/>
              <w:jc w:val="center"/>
              <w:rPr>
                <w:rFonts w:ascii="宋体"/>
              </w:rPr>
            </w:pPr>
          </w:p>
        </w:tc>
        <w:tc>
          <w:tcPr>
            <w:tcW w:w="2064" w:type="dxa"/>
            <w:vAlign w:val="center"/>
          </w:tcPr>
          <w:p w14:paraId="644766D2">
            <w:pPr>
              <w:ind w:firstLine="120"/>
              <w:jc w:val="center"/>
              <w:rPr>
                <w:rFonts w:ascii="宋体"/>
              </w:rPr>
            </w:pPr>
          </w:p>
        </w:tc>
        <w:tc>
          <w:tcPr>
            <w:tcW w:w="1826" w:type="dxa"/>
            <w:vAlign w:val="center"/>
          </w:tcPr>
          <w:p w14:paraId="7BEEE5FF">
            <w:pPr>
              <w:ind w:firstLine="120"/>
              <w:jc w:val="center"/>
              <w:rPr>
                <w:rFonts w:ascii="宋体"/>
              </w:rPr>
            </w:pPr>
          </w:p>
        </w:tc>
        <w:tc>
          <w:tcPr>
            <w:tcW w:w="1355" w:type="dxa"/>
            <w:vAlign w:val="center"/>
          </w:tcPr>
          <w:p w14:paraId="78969FD6">
            <w:pPr>
              <w:ind w:firstLine="120"/>
              <w:jc w:val="center"/>
              <w:rPr>
                <w:rFonts w:ascii="宋体"/>
              </w:rPr>
            </w:pPr>
          </w:p>
        </w:tc>
      </w:tr>
    </w:tbl>
    <w:p w14:paraId="3782ACE7">
      <w:pPr>
        <w:snapToGrid w:val="0"/>
        <w:spacing w:line="400" w:lineRule="exact"/>
        <w:ind w:firstLine="160"/>
        <w:rPr>
          <w:rFonts w:ascii="宋体" w:cs="宋体"/>
          <w:kern w:val="0"/>
          <w:sz w:val="32"/>
          <w:szCs w:val="32"/>
        </w:rPr>
      </w:pPr>
    </w:p>
    <w:p w14:paraId="3AFCE26A">
      <w:pPr>
        <w:adjustRightInd w:val="0"/>
        <w:snapToGrid w:val="0"/>
        <w:spacing w:line="360" w:lineRule="auto"/>
        <w:rPr>
          <w:rFonts w:ascii="宋体" w:cs="宋体"/>
        </w:rPr>
      </w:pPr>
      <w:r>
        <w:rPr>
          <w:rFonts w:hint="eastAsia" w:ascii="宋体" w:cs="宋体"/>
          <w:b/>
          <w:szCs w:val="21"/>
        </w:rPr>
        <w:t>注：</w:t>
      </w:r>
      <w:r>
        <w:rPr>
          <w:rFonts w:hint="eastAsia" w:ascii="宋体"/>
        </w:rPr>
        <w:t>1、 如投标产品（服务）的商务要求与本招标文件的要求不完全一致，则投标供应商必须填写此表。</w:t>
      </w:r>
      <w:r>
        <w:rPr>
          <w:rFonts w:hint="eastAsia" w:ascii="宋体" w:cs="宋体"/>
        </w:rPr>
        <w:t>未填写的内容视为完全响应招标文件要求。</w:t>
      </w:r>
    </w:p>
    <w:p w14:paraId="06F6362F">
      <w:pPr>
        <w:adjustRightInd w:val="0"/>
        <w:snapToGrid w:val="0"/>
        <w:spacing w:line="360" w:lineRule="auto"/>
        <w:ind w:firstLine="480" w:firstLineChars="200"/>
        <w:rPr>
          <w:rFonts w:ascii="宋体"/>
        </w:rPr>
      </w:pPr>
      <w:r>
        <w:rPr>
          <w:rFonts w:hint="eastAsia" w:ascii="宋体"/>
        </w:rPr>
        <w:t>2、“偏离情况”应填写“无偏离”、“正偏离”、“负偏离”。</w:t>
      </w:r>
    </w:p>
    <w:p w14:paraId="02DDE8AA">
      <w:pPr>
        <w:adjustRightInd w:val="0"/>
        <w:snapToGrid w:val="0"/>
        <w:spacing w:line="360" w:lineRule="auto"/>
        <w:ind w:firstLine="480" w:firstLineChars="200"/>
        <w:rPr>
          <w:rFonts w:ascii="宋体"/>
        </w:rPr>
      </w:pPr>
      <w:r>
        <w:rPr>
          <w:rFonts w:hint="eastAsia" w:ascii="宋体"/>
        </w:rPr>
        <w:t>3、行数不够可自行添加。</w:t>
      </w:r>
    </w:p>
    <w:p w14:paraId="10286F25">
      <w:pPr>
        <w:adjustRightInd w:val="0"/>
        <w:snapToGrid w:val="0"/>
        <w:spacing w:line="360" w:lineRule="auto"/>
        <w:ind w:left="-101" w:leftChars="-42"/>
        <w:rPr>
          <w:rFonts w:ascii="宋体" w:cs="宋体"/>
          <w:szCs w:val="21"/>
        </w:rPr>
      </w:pPr>
    </w:p>
    <w:p w14:paraId="24795C67">
      <w:pPr>
        <w:spacing w:line="360" w:lineRule="auto"/>
        <w:jc w:val="left"/>
        <w:rPr>
          <w:rFonts w:ascii="宋体" w:cs="宋体"/>
          <w:u w:val="single"/>
        </w:rPr>
      </w:pPr>
      <w:r>
        <w:rPr>
          <w:rFonts w:hint="eastAsia" w:ascii="宋体" w:cs="宋体"/>
        </w:rPr>
        <w:t>投标单位全称（盖公章）：</w:t>
      </w:r>
    </w:p>
    <w:p w14:paraId="258CDC27">
      <w:pPr>
        <w:spacing w:line="360" w:lineRule="auto"/>
        <w:jc w:val="left"/>
        <w:rPr>
          <w:rFonts w:ascii="宋体" w:cs="宋体"/>
          <w:u w:val="single"/>
        </w:rPr>
      </w:pPr>
      <w:r>
        <w:rPr>
          <w:rFonts w:hint="eastAsia" w:ascii="宋体" w:cs="宋体"/>
        </w:rPr>
        <w:t>法定代表人或其授权委托人（签字或</w:t>
      </w:r>
      <w:r>
        <w:rPr>
          <w:rFonts w:hint="eastAsia" w:ascii="宋体" w:cs="宋体"/>
          <w:spacing w:val="6"/>
        </w:rPr>
        <w:t>盖章</w:t>
      </w:r>
      <w:r>
        <w:rPr>
          <w:rFonts w:hint="eastAsia" w:ascii="宋体" w:cs="宋体"/>
        </w:rPr>
        <w:t>）：</w:t>
      </w:r>
    </w:p>
    <w:p w14:paraId="5F5A5699">
      <w:pPr>
        <w:spacing w:line="360" w:lineRule="auto"/>
        <w:jc w:val="left"/>
        <w:rPr>
          <w:rFonts w:ascii="宋体" w:cs="宋体"/>
          <w:u w:val="single"/>
        </w:rPr>
      </w:pPr>
      <w:r>
        <w:rPr>
          <w:rFonts w:hint="eastAsia" w:ascii="宋体" w:cs="宋体"/>
        </w:rPr>
        <w:t>日 期： 年 月 日</w:t>
      </w:r>
    </w:p>
    <w:p w14:paraId="4C1B17FC">
      <w:pPr>
        <w:ind w:firstLine="6144" w:firstLineChars="1700"/>
        <w:rPr>
          <w:rFonts w:ascii="宋体" w:cs="宋体"/>
          <w:b/>
          <w:sz w:val="36"/>
          <w:szCs w:val="36"/>
        </w:rPr>
      </w:pPr>
    </w:p>
    <w:p w14:paraId="3A031D60">
      <w:pPr>
        <w:ind w:firstLine="6144" w:firstLineChars="1700"/>
        <w:rPr>
          <w:rFonts w:ascii="宋体" w:cs="宋体"/>
          <w:b/>
          <w:sz w:val="36"/>
          <w:szCs w:val="36"/>
        </w:rPr>
      </w:pPr>
    </w:p>
    <w:p w14:paraId="423E7959">
      <w:pPr>
        <w:ind w:firstLine="723" w:firstLineChars="100"/>
        <w:rPr>
          <w:rFonts w:ascii="宋体" w:cs="宋体"/>
          <w:b/>
          <w:sz w:val="72"/>
        </w:rPr>
      </w:pPr>
    </w:p>
    <w:p w14:paraId="71C58797">
      <w:pPr>
        <w:ind w:firstLine="723" w:firstLineChars="100"/>
        <w:rPr>
          <w:rFonts w:ascii="宋体" w:cs="宋体"/>
          <w:b/>
          <w:sz w:val="72"/>
        </w:rPr>
      </w:pPr>
    </w:p>
    <w:p w14:paraId="058C50BD">
      <w:pPr>
        <w:ind w:firstLine="723" w:firstLineChars="100"/>
        <w:rPr>
          <w:rFonts w:ascii="宋体" w:cs="宋体"/>
          <w:b/>
          <w:sz w:val="72"/>
        </w:rPr>
      </w:pPr>
      <w:r>
        <w:rPr>
          <w:rFonts w:hint="eastAsia" w:ascii="宋体" w:cs="宋体"/>
          <w:b/>
          <w:sz w:val="72"/>
        </w:rPr>
        <w:t>投  标  响  应  文  件</w:t>
      </w:r>
    </w:p>
    <w:p w14:paraId="103E310C">
      <w:pPr>
        <w:ind w:firstLine="161"/>
        <w:jc w:val="center"/>
        <w:rPr>
          <w:rFonts w:ascii="宋体" w:cs="宋体"/>
          <w:b/>
          <w:sz w:val="32"/>
          <w:szCs w:val="32"/>
        </w:rPr>
      </w:pPr>
      <w:r>
        <w:rPr>
          <w:rFonts w:hint="eastAsia" w:ascii="宋体" w:cs="宋体"/>
          <w:b/>
          <w:sz w:val="32"/>
          <w:szCs w:val="32"/>
        </w:rPr>
        <w:t>（ 技术标 ）</w:t>
      </w:r>
    </w:p>
    <w:p w14:paraId="6D158D44">
      <w:pPr>
        <w:ind w:firstLine="361"/>
        <w:jc w:val="center"/>
        <w:rPr>
          <w:rFonts w:ascii="宋体" w:cs="宋体"/>
          <w:b/>
          <w:sz w:val="72"/>
        </w:rPr>
      </w:pPr>
    </w:p>
    <w:p w14:paraId="04F18EB5">
      <w:pPr>
        <w:ind w:firstLine="181"/>
        <w:jc w:val="center"/>
        <w:rPr>
          <w:rFonts w:ascii="宋体" w:cs="宋体"/>
          <w:b/>
          <w:sz w:val="36"/>
        </w:rPr>
      </w:pPr>
    </w:p>
    <w:p w14:paraId="4CFE74EC">
      <w:pPr>
        <w:pStyle w:val="2"/>
        <w:ind w:left="480" w:firstLine="723"/>
        <w:rPr>
          <w:rFonts w:ascii="宋体" w:cs="宋体"/>
          <w:b/>
          <w:sz w:val="36"/>
        </w:rPr>
      </w:pPr>
    </w:p>
    <w:p w14:paraId="2CDAE6F0">
      <w:pPr>
        <w:ind w:firstLine="181"/>
        <w:rPr>
          <w:rFonts w:ascii="宋体" w:cs="宋体"/>
          <w:b/>
          <w:sz w:val="36"/>
        </w:rPr>
      </w:pPr>
    </w:p>
    <w:p w14:paraId="69FC5926">
      <w:pPr>
        <w:pStyle w:val="2"/>
        <w:ind w:left="480" w:firstLine="480"/>
        <w:rPr>
          <w:rFonts w:ascii="宋体" w:cs="宋体"/>
        </w:rPr>
      </w:pPr>
    </w:p>
    <w:p w14:paraId="268EA990">
      <w:pPr>
        <w:ind w:firstLine="181"/>
        <w:rPr>
          <w:rFonts w:ascii="宋体" w:cs="宋体"/>
          <w:b/>
          <w:sz w:val="36"/>
        </w:rPr>
      </w:pPr>
    </w:p>
    <w:p w14:paraId="7AD6B44B">
      <w:pPr>
        <w:pStyle w:val="2"/>
        <w:ind w:left="480" w:firstLine="480"/>
        <w:rPr>
          <w:rFonts w:ascii="宋体" w:cs="宋体"/>
        </w:rPr>
      </w:pPr>
    </w:p>
    <w:p w14:paraId="4157639A">
      <w:pPr>
        <w:ind w:firstLine="2349" w:firstLineChars="650"/>
        <w:rPr>
          <w:rFonts w:ascii="宋体" w:cs="宋体"/>
          <w:b/>
          <w:sz w:val="36"/>
        </w:rPr>
      </w:pPr>
    </w:p>
    <w:p w14:paraId="50793E04">
      <w:pPr>
        <w:adjustRightInd w:val="0"/>
        <w:snapToGrid w:val="0"/>
        <w:spacing w:line="480" w:lineRule="auto"/>
        <w:ind w:firstLine="181"/>
        <w:rPr>
          <w:rFonts w:ascii="宋体" w:cs="宋体"/>
          <w:b/>
          <w:sz w:val="36"/>
          <w:u w:val="single"/>
        </w:rPr>
      </w:pPr>
      <w:r>
        <w:rPr>
          <w:rFonts w:hint="eastAsia" w:ascii="宋体" w:cs="宋体"/>
          <w:b/>
          <w:sz w:val="36"/>
        </w:rPr>
        <w:t>项 目 名 称：</w:t>
      </w:r>
    </w:p>
    <w:p w14:paraId="3E907649">
      <w:pPr>
        <w:adjustRightInd w:val="0"/>
        <w:snapToGrid w:val="0"/>
        <w:spacing w:line="480" w:lineRule="auto"/>
        <w:ind w:firstLine="181"/>
        <w:rPr>
          <w:rFonts w:ascii="宋体" w:cs="宋体"/>
          <w:b/>
          <w:sz w:val="36"/>
        </w:rPr>
      </w:pPr>
      <w:r>
        <w:rPr>
          <w:rFonts w:hint="eastAsia" w:ascii="宋体" w:cs="宋体"/>
          <w:b/>
          <w:sz w:val="36"/>
        </w:rPr>
        <w:t>采购人名称：</w:t>
      </w:r>
    </w:p>
    <w:p w14:paraId="50C29C8E">
      <w:pPr>
        <w:adjustRightInd w:val="0"/>
        <w:snapToGrid w:val="0"/>
        <w:spacing w:line="480" w:lineRule="auto"/>
        <w:ind w:firstLine="181"/>
        <w:rPr>
          <w:rFonts w:ascii="宋体" w:cs="宋体"/>
          <w:b/>
          <w:sz w:val="36"/>
          <w:u w:val="single"/>
        </w:rPr>
      </w:pPr>
      <w:r>
        <w:rPr>
          <w:rFonts w:hint="eastAsia" w:ascii="宋体" w:cs="宋体"/>
          <w:b/>
          <w:sz w:val="36"/>
        </w:rPr>
        <w:t>投标人名称：</w:t>
      </w:r>
    </w:p>
    <w:p w14:paraId="241E10E4">
      <w:pPr>
        <w:adjustRightInd w:val="0"/>
        <w:snapToGrid w:val="0"/>
        <w:spacing w:line="480" w:lineRule="auto"/>
        <w:ind w:firstLine="181"/>
        <w:jc w:val="left"/>
        <w:rPr>
          <w:rFonts w:ascii="宋体" w:cs="宋体"/>
        </w:rPr>
      </w:pPr>
      <w:r>
        <w:rPr>
          <w:rFonts w:hint="eastAsia" w:ascii="宋体" w:cs="宋体"/>
          <w:b/>
          <w:sz w:val="36"/>
        </w:rPr>
        <w:t>日      期：</w:t>
      </w:r>
    </w:p>
    <w:p w14:paraId="0BE3EF4D">
      <w:pPr>
        <w:pStyle w:val="2"/>
        <w:ind w:left="480" w:firstLine="723"/>
        <w:rPr>
          <w:rFonts w:ascii="宋体" w:cs="宋体"/>
          <w:b/>
          <w:sz w:val="36"/>
          <w:szCs w:val="36"/>
        </w:rPr>
      </w:pPr>
    </w:p>
    <w:p w14:paraId="791CE5CA">
      <w:pPr>
        <w:ind w:firstLine="181"/>
        <w:rPr>
          <w:rFonts w:ascii="宋体" w:cs="宋体"/>
          <w:b/>
          <w:sz w:val="36"/>
          <w:szCs w:val="36"/>
        </w:rPr>
      </w:pPr>
    </w:p>
    <w:p w14:paraId="1D6C904A">
      <w:pPr>
        <w:pStyle w:val="2"/>
        <w:ind w:left="480" w:firstLine="480"/>
        <w:rPr>
          <w:rFonts w:ascii="宋体" w:cs="宋体"/>
        </w:rPr>
      </w:pPr>
    </w:p>
    <w:p w14:paraId="1BA8B5C5">
      <w:pPr>
        <w:ind w:firstLine="120"/>
        <w:rPr>
          <w:rFonts w:ascii="宋体" w:cs="宋体"/>
        </w:rPr>
      </w:pPr>
    </w:p>
    <w:p w14:paraId="16AFE64B">
      <w:pPr>
        <w:ind w:firstLine="723" w:firstLineChars="100"/>
        <w:rPr>
          <w:rFonts w:ascii="宋体" w:cs="宋体"/>
          <w:b/>
          <w:sz w:val="72"/>
        </w:rPr>
      </w:pPr>
    </w:p>
    <w:p w14:paraId="097DF91A">
      <w:pPr>
        <w:ind w:firstLine="723" w:firstLineChars="100"/>
        <w:rPr>
          <w:rFonts w:ascii="宋体" w:cs="宋体"/>
          <w:b/>
          <w:sz w:val="72"/>
        </w:rPr>
      </w:pPr>
    </w:p>
    <w:p w14:paraId="56955B84">
      <w:pPr>
        <w:ind w:firstLine="723" w:firstLineChars="100"/>
        <w:rPr>
          <w:rFonts w:ascii="宋体" w:cs="宋体"/>
          <w:b/>
          <w:sz w:val="72"/>
        </w:rPr>
      </w:pPr>
    </w:p>
    <w:p w14:paraId="369C6ABF">
      <w:pPr>
        <w:ind w:firstLine="723" w:firstLineChars="100"/>
        <w:rPr>
          <w:rFonts w:ascii="宋体" w:cs="宋体"/>
          <w:b/>
          <w:sz w:val="72"/>
        </w:rPr>
      </w:pPr>
    </w:p>
    <w:p w14:paraId="5AC22016">
      <w:pPr>
        <w:ind w:firstLine="723" w:firstLineChars="100"/>
        <w:rPr>
          <w:rFonts w:ascii="宋体" w:cs="宋体"/>
          <w:b/>
          <w:sz w:val="72"/>
        </w:rPr>
      </w:pPr>
      <w:r>
        <w:rPr>
          <w:rFonts w:hint="eastAsia" w:ascii="宋体" w:cs="宋体"/>
          <w:b/>
          <w:sz w:val="72"/>
        </w:rPr>
        <w:t>投  标  响  应  文  件</w:t>
      </w:r>
    </w:p>
    <w:p w14:paraId="38B50EC5">
      <w:pPr>
        <w:ind w:firstLine="161"/>
        <w:jc w:val="center"/>
        <w:rPr>
          <w:rFonts w:ascii="宋体" w:cs="宋体"/>
          <w:b/>
          <w:sz w:val="32"/>
          <w:szCs w:val="32"/>
        </w:rPr>
      </w:pPr>
      <w:r>
        <w:rPr>
          <w:rFonts w:hint="eastAsia" w:ascii="宋体" w:cs="宋体"/>
          <w:b/>
          <w:sz w:val="32"/>
          <w:szCs w:val="32"/>
        </w:rPr>
        <w:t>（ 经济标 ）</w:t>
      </w:r>
    </w:p>
    <w:p w14:paraId="01143E4B">
      <w:pPr>
        <w:ind w:firstLine="361"/>
        <w:jc w:val="center"/>
        <w:rPr>
          <w:rFonts w:ascii="宋体" w:cs="宋体"/>
          <w:b/>
          <w:sz w:val="72"/>
        </w:rPr>
      </w:pPr>
    </w:p>
    <w:p w14:paraId="192322A5">
      <w:pPr>
        <w:ind w:firstLine="181"/>
        <w:jc w:val="center"/>
        <w:rPr>
          <w:rFonts w:ascii="宋体" w:cs="宋体"/>
          <w:b/>
          <w:sz w:val="36"/>
        </w:rPr>
      </w:pPr>
    </w:p>
    <w:p w14:paraId="1E1BD921">
      <w:pPr>
        <w:pStyle w:val="2"/>
        <w:ind w:left="480" w:firstLine="723"/>
        <w:rPr>
          <w:rFonts w:ascii="宋体" w:cs="宋体"/>
          <w:b/>
          <w:sz w:val="36"/>
        </w:rPr>
      </w:pPr>
    </w:p>
    <w:p w14:paraId="6B3D0871">
      <w:pPr>
        <w:ind w:firstLine="181"/>
        <w:rPr>
          <w:rFonts w:ascii="宋体" w:cs="宋体"/>
          <w:b/>
          <w:sz w:val="36"/>
        </w:rPr>
      </w:pPr>
    </w:p>
    <w:p w14:paraId="7F49720F">
      <w:pPr>
        <w:pStyle w:val="2"/>
        <w:ind w:left="480" w:firstLine="480"/>
        <w:rPr>
          <w:rFonts w:ascii="宋体" w:cs="宋体"/>
        </w:rPr>
      </w:pPr>
    </w:p>
    <w:p w14:paraId="4FD4168B">
      <w:pPr>
        <w:ind w:firstLine="181"/>
        <w:rPr>
          <w:rFonts w:ascii="宋体" w:cs="宋体"/>
          <w:b/>
          <w:sz w:val="36"/>
        </w:rPr>
      </w:pPr>
    </w:p>
    <w:p w14:paraId="2E9F8CC4">
      <w:pPr>
        <w:pStyle w:val="2"/>
        <w:ind w:left="480" w:firstLine="480"/>
        <w:rPr>
          <w:rFonts w:ascii="宋体" w:cs="宋体"/>
        </w:rPr>
      </w:pPr>
    </w:p>
    <w:p w14:paraId="10CCDE87">
      <w:pPr>
        <w:ind w:firstLine="2349" w:firstLineChars="650"/>
        <w:rPr>
          <w:rFonts w:ascii="宋体" w:cs="宋体"/>
          <w:b/>
          <w:sz w:val="36"/>
        </w:rPr>
      </w:pPr>
    </w:p>
    <w:p w14:paraId="0A1F4709">
      <w:pPr>
        <w:adjustRightInd w:val="0"/>
        <w:snapToGrid w:val="0"/>
        <w:spacing w:line="480" w:lineRule="auto"/>
        <w:ind w:firstLine="181"/>
        <w:rPr>
          <w:rFonts w:ascii="宋体" w:cs="宋体"/>
          <w:b/>
          <w:sz w:val="36"/>
          <w:u w:val="single"/>
        </w:rPr>
      </w:pPr>
      <w:r>
        <w:rPr>
          <w:rFonts w:hint="eastAsia" w:ascii="宋体" w:cs="宋体"/>
          <w:b/>
          <w:sz w:val="36"/>
        </w:rPr>
        <w:t>项 目 名 称：</w:t>
      </w:r>
    </w:p>
    <w:p w14:paraId="680B9E60">
      <w:pPr>
        <w:adjustRightInd w:val="0"/>
        <w:snapToGrid w:val="0"/>
        <w:spacing w:line="480" w:lineRule="auto"/>
        <w:ind w:firstLine="181"/>
        <w:rPr>
          <w:rFonts w:ascii="宋体" w:cs="宋体"/>
          <w:b/>
          <w:sz w:val="36"/>
        </w:rPr>
      </w:pPr>
      <w:r>
        <w:rPr>
          <w:rFonts w:hint="eastAsia" w:ascii="宋体" w:cs="宋体"/>
          <w:b/>
          <w:sz w:val="36"/>
        </w:rPr>
        <w:t>采购人名称：</w:t>
      </w:r>
    </w:p>
    <w:p w14:paraId="453D8665">
      <w:pPr>
        <w:adjustRightInd w:val="0"/>
        <w:snapToGrid w:val="0"/>
        <w:spacing w:line="480" w:lineRule="auto"/>
        <w:ind w:firstLine="181"/>
        <w:rPr>
          <w:rFonts w:ascii="宋体" w:cs="宋体"/>
          <w:b/>
          <w:sz w:val="36"/>
          <w:u w:val="single"/>
        </w:rPr>
      </w:pPr>
      <w:r>
        <w:rPr>
          <w:rFonts w:hint="eastAsia" w:ascii="宋体" w:cs="宋体"/>
          <w:b/>
          <w:sz w:val="36"/>
        </w:rPr>
        <w:t>投标人名称：</w:t>
      </w:r>
    </w:p>
    <w:p w14:paraId="0E9B68F1">
      <w:pPr>
        <w:adjustRightInd w:val="0"/>
        <w:snapToGrid w:val="0"/>
        <w:spacing w:line="480" w:lineRule="auto"/>
        <w:ind w:firstLine="181"/>
        <w:jc w:val="left"/>
        <w:rPr>
          <w:rFonts w:ascii="宋体" w:cs="宋体"/>
        </w:rPr>
      </w:pPr>
      <w:r>
        <w:rPr>
          <w:rFonts w:hint="eastAsia" w:ascii="宋体" w:cs="宋体"/>
          <w:b/>
          <w:sz w:val="36"/>
        </w:rPr>
        <w:t>日      期：</w:t>
      </w:r>
    </w:p>
    <w:p w14:paraId="589874BE">
      <w:pPr>
        <w:pStyle w:val="4"/>
        <w:spacing w:line="360" w:lineRule="auto"/>
        <w:ind w:firstLine="160"/>
        <w:jc w:val="left"/>
        <w:rPr>
          <w:rFonts w:ascii="宋体" w:eastAsia="宋体" w:cs="宋体"/>
          <w:kern w:val="0"/>
          <w:sz w:val="32"/>
          <w:szCs w:val="32"/>
        </w:rPr>
      </w:pPr>
    </w:p>
    <w:p w14:paraId="2500AA15">
      <w:pPr>
        <w:pStyle w:val="4"/>
        <w:spacing w:line="360" w:lineRule="auto"/>
        <w:ind w:firstLine="160"/>
        <w:jc w:val="left"/>
        <w:rPr>
          <w:rFonts w:ascii="宋体" w:eastAsia="宋体" w:cs="宋体"/>
          <w:kern w:val="0"/>
          <w:sz w:val="32"/>
          <w:szCs w:val="32"/>
        </w:rPr>
      </w:pPr>
      <w:r>
        <w:rPr>
          <w:rFonts w:hint="eastAsia" w:ascii="宋体" w:eastAsia="宋体" w:cs="宋体"/>
          <w:kern w:val="0"/>
          <w:sz w:val="32"/>
          <w:szCs w:val="32"/>
        </w:rPr>
        <w:t>附件8</w:t>
      </w:r>
    </w:p>
    <w:p w14:paraId="50094417">
      <w:pPr>
        <w:pStyle w:val="4"/>
        <w:spacing w:line="360" w:lineRule="auto"/>
        <w:ind w:firstLine="160"/>
        <w:rPr>
          <w:rFonts w:ascii="宋体" w:eastAsia="宋体" w:cs="宋体"/>
        </w:rPr>
      </w:pPr>
      <w:r>
        <w:rPr>
          <w:rFonts w:hint="eastAsia" w:ascii="宋体" w:eastAsia="宋体" w:cs="宋体"/>
          <w:sz w:val="32"/>
          <w:szCs w:val="32"/>
        </w:rPr>
        <w:t>开标一览表</w:t>
      </w:r>
    </w:p>
    <w:p w14:paraId="3B05603F">
      <w:pPr>
        <w:spacing w:line="360" w:lineRule="auto"/>
        <w:rPr>
          <w:rFonts w:ascii="宋体" w:cs="宋体"/>
        </w:rPr>
      </w:pPr>
    </w:p>
    <w:p w14:paraId="78FBD799">
      <w:pPr>
        <w:tabs>
          <w:tab w:val="left" w:pos="1325"/>
        </w:tabs>
        <w:adjustRightInd w:val="0"/>
        <w:snapToGrid w:val="0"/>
        <w:spacing w:line="360" w:lineRule="auto"/>
        <w:ind w:firstLine="141"/>
        <w:rPr>
          <w:rFonts w:hint="eastAsia" w:ascii="宋体" w:eastAsia="宋体" w:cs="宋体"/>
          <w:sz w:val="28"/>
          <w:szCs w:val="28"/>
          <w:u w:val="single"/>
          <w:lang w:eastAsia="zh-CN"/>
        </w:rPr>
      </w:pPr>
      <w:r>
        <w:rPr>
          <w:rFonts w:hint="eastAsia" w:ascii="宋体" w:cs="宋体"/>
          <w:b/>
          <w:bCs/>
          <w:sz w:val="28"/>
          <w:szCs w:val="28"/>
        </w:rPr>
        <w:t xml:space="preserve"> 项目名称：</w:t>
      </w:r>
      <w:r>
        <w:rPr>
          <w:rFonts w:hint="eastAsia" w:ascii="宋体" w:cs="宋体"/>
          <w:b/>
          <w:sz w:val="28"/>
          <w:szCs w:val="28"/>
          <w:u w:val="single"/>
          <w:lang w:eastAsia="zh-CN"/>
        </w:rPr>
        <w:t>如东县洋口镇中心卫生院眼科显微镜采购项目（第三次）</w:t>
      </w:r>
    </w:p>
    <w:tbl>
      <w:tblPr>
        <w:tblStyle w:val="2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263"/>
      </w:tblGrid>
      <w:tr w14:paraId="0BD9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jc w:val="center"/>
        </w:trPr>
        <w:tc>
          <w:tcPr>
            <w:tcW w:w="2338" w:type="dxa"/>
            <w:vAlign w:val="center"/>
          </w:tcPr>
          <w:p w14:paraId="38691D5B">
            <w:pPr>
              <w:tabs>
                <w:tab w:val="left" w:pos="1325"/>
              </w:tabs>
              <w:adjustRightInd w:val="0"/>
              <w:snapToGrid w:val="0"/>
              <w:spacing w:line="360" w:lineRule="auto"/>
              <w:ind w:firstLine="140"/>
              <w:jc w:val="center"/>
              <w:rPr>
                <w:rFonts w:ascii="宋体" w:cs="宋体"/>
                <w:sz w:val="28"/>
                <w:szCs w:val="28"/>
              </w:rPr>
            </w:pPr>
            <w:r>
              <w:rPr>
                <w:rFonts w:hint="eastAsia" w:ascii="宋体" w:cs="宋体"/>
                <w:sz w:val="28"/>
                <w:szCs w:val="28"/>
              </w:rPr>
              <w:t>项目总报价</w:t>
            </w:r>
          </w:p>
          <w:p w14:paraId="216626A5">
            <w:pPr>
              <w:tabs>
                <w:tab w:val="left" w:pos="1325"/>
              </w:tabs>
              <w:adjustRightInd w:val="0"/>
              <w:snapToGrid w:val="0"/>
              <w:spacing w:line="360" w:lineRule="auto"/>
              <w:ind w:firstLine="140"/>
              <w:jc w:val="center"/>
              <w:rPr>
                <w:rFonts w:ascii="宋体" w:cs="宋体"/>
                <w:sz w:val="28"/>
                <w:szCs w:val="28"/>
              </w:rPr>
            </w:pPr>
            <w:r>
              <w:rPr>
                <w:rFonts w:hint="eastAsia" w:ascii="宋体" w:cs="宋体"/>
                <w:sz w:val="28"/>
                <w:szCs w:val="28"/>
              </w:rPr>
              <w:t>（人民币）</w:t>
            </w:r>
          </w:p>
        </w:tc>
        <w:tc>
          <w:tcPr>
            <w:tcW w:w="7263" w:type="dxa"/>
            <w:vAlign w:val="center"/>
          </w:tcPr>
          <w:p w14:paraId="126B3B31">
            <w:pPr>
              <w:tabs>
                <w:tab w:val="left" w:pos="1325"/>
              </w:tabs>
              <w:adjustRightInd w:val="0"/>
              <w:snapToGrid w:val="0"/>
              <w:spacing w:line="360" w:lineRule="auto"/>
              <w:ind w:firstLine="560" w:firstLineChars="200"/>
              <w:rPr>
                <w:rFonts w:ascii="宋体" w:cs="宋体"/>
                <w:sz w:val="28"/>
                <w:szCs w:val="28"/>
              </w:rPr>
            </w:pPr>
          </w:p>
          <w:p w14:paraId="37A17C96">
            <w:pPr>
              <w:tabs>
                <w:tab w:val="left" w:pos="1325"/>
              </w:tabs>
              <w:adjustRightInd w:val="0"/>
              <w:snapToGrid w:val="0"/>
              <w:spacing w:line="360" w:lineRule="auto"/>
              <w:ind w:firstLine="560" w:firstLineChars="200"/>
              <w:rPr>
                <w:rFonts w:ascii="宋体" w:cs="宋体"/>
                <w:sz w:val="28"/>
                <w:szCs w:val="28"/>
              </w:rPr>
            </w:pPr>
            <w:r>
              <w:rPr>
                <w:rFonts w:hint="eastAsia" w:ascii="宋体" w:cs="宋体"/>
                <w:sz w:val="28"/>
                <w:szCs w:val="28"/>
              </w:rPr>
              <w:t xml:space="preserve">大写： </w:t>
            </w:r>
          </w:p>
          <w:p w14:paraId="02289562">
            <w:pPr>
              <w:pStyle w:val="11"/>
              <w:ind w:firstLine="140"/>
              <w:rPr>
                <w:rFonts w:ascii="宋体" w:cs="宋体"/>
                <w:sz w:val="28"/>
                <w:szCs w:val="28"/>
              </w:rPr>
            </w:pPr>
          </w:p>
          <w:p w14:paraId="42C2202E">
            <w:pPr>
              <w:tabs>
                <w:tab w:val="left" w:pos="1325"/>
              </w:tabs>
              <w:adjustRightInd w:val="0"/>
              <w:snapToGrid w:val="0"/>
              <w:spacing w:line="360" w:lineRule="auto"/>
              <w:ind w:firstLine="560" w:firstLineChars="200"/>
              <w:rPr>
                <w:rFonts w:ascii="宋体" w:cs="宋体"/>
                <w:sz w:val="28"/>
                <w:szCs w:val="28"/>
              </w:rPr>
            </w:pPr>
            <w:r>
              <w:rPr>
                <w:rFonts w:hint="eastAsia" w:ascii="宋体" w:cs="宋体"/>
                <w:sz w:val="28"/>
                <w:szCs w:val="28"/>
              </w:rPr>
              <w:t>小写：</w:t>
            </w:r>
          </w:p>
          <w:p w14:paraId="091D6AE6">
            <w:pPr>
              <w:pStyle w:val="11"/>
              <w:ind w:firstLine="140"/>
              <w:rPr>
                <w:rFonts w:ascii="宋体" w:cs="宋体"/>
                <w:sz w:val="28"/>
                <w:szCs w:val="28"/>
              </w:rPr>
            </w:pPr>
          </w:p>
        </w:tc>
      </w:tr>
    </w:tbl>
    <w:p w14:paraId="758B721C">
      <w:pPr>
        <w:pStyle w:val="14"/>
        <w:adjustRightInd w:val="0"/>
        <w:snapToGrid w:val="0"/>
        <w:spacing w:line="360" w:lineRule="auto"/>
        <w:ind w:firstLine="141"/>
        <w:rPr>
          <w:rFonts w:hAnsi="宋体" w:cs="宋体"/>
          <w:b/>
          <w:bCs/>
          <w:sz w:val="28"/>
          <w:szCs w:val="28"/>
        </w:rPr>
      </w:pPr>
      <w:r>
        <w:rPr>
          <w:rFonts w:hint="eastAsia" w:hAnsi="宋体" w:cs="宋体"/>
          <w:b/>
          <w:bCs/>
          <w:sz w:val="28"/>
          <w:szCs w:val="28"/>
        </w:rPr>
        <w:t>注：项目总报价超过采购控制价的为无效投标。</w:t>
      </w:r>
    </w:p>
    <w:p w14:paraId="6ABC1E3A">
      <w:pPr>
        <w:pStyle w:val="14"/>
        <w:adjustRightInd w:val="0"/>
        <w:snapToGrid w:val="0"/>
        <w:spacing w:line="360" w:lineRule="auto"/>
        <w:ind w:firstLine="140"/>
        <w:rPr>
          <w:rFonts w:hAnsi="宋体" w:cs="宋体"/>
          <w:sz w:val="28"/>
          <w:szCs w:val="28"/>
        </w:rPr>
      </w:pPr>
    </w:p>
    <w:p w14:paraId="64C5717A">
      <w:pPr>
        <w:pStyle w:val="14"/>
        <w:adjustRightInd w:val="0"/>
        <w:snapToGrid w:val="0"/>
        <w:spacing w:line="360" w:lineRule="auto"/>
        <w:ind w:firstLine="140"/>
        <w:rPr>
          <w:rFonts w:hAnsi="宋体" w:cs="宋体"/>
          <w:sz w:val="28"/>
          <w:szCs w:val="28"/>
        </w:rPr>
      </w:pPr>
    </w:p>
    <w:p w14:paraId="11592469">
      <w:pPr>
        <w:pStyle w:val="14"/>
        <w:adjustRightInd w:val="0"/>
        <w:snapToGrid w:val="0"/>
        <w:spacing w:line="360" w:lineRule="auto"/>
        <w:ind w:firstLine="140"/>
        <w:rPr>
          <w:rFonts w:hAnsi="宋体" w:cs="宋体"/>
          <w:sz w:val="28"/>
          <w:szCs w:val="28"/>
        </w:rPr>
      </w:pPr>
      <w:r>
        <w:rPr>
          <w:rFonts w:hint="eastAsia" w:hAnsi="宋体" w:cs="宋体"/>
          <w:sz w:val="28"/>
          <w:szCs w:val="28"/>
        </w:rPr>
        <w:t>投标人名称  (盖章)：</w:t>
      </w:r>
    </w:p>
    <w:p w14:paraId="47E495C2">
      <w:pPr>
        <w:spacing w:line="360" w:lineRule="auto"/>
        <w:ind w:firstLine="140"/>
        <w:rPr>
          <w:rFonts w:ascii="宋体" w:cs="宋体"/>
          <w:sz w:val="28"/>
          <w:szCs w:val="28"/>
          <w:u w:val="single"/>
        </w:rPr>
      </w:pPr>
      <w:r>
        <w:rPr>
          <w:rFonts w:hint="eastAsia" w:ascii="宋体" w:cs="宋体"/>
          <w:sz w:val="28"/>
          <w:szCs w:val="28"/>
        </w:rPr>
        <w:t>法定代表人或法定代表授权人(签字或盖章)：_______</w:t>
      </w:r>
    </w:p>
    <w:p w14:paraId="7D86E3CD">
      <w:pPr>
        <w:spacing w:line="360" w:lineRule="auto"/>
        <w:ind w:firstLine="140"/>
        <w:rPr>
          <w:rFonts w:ascii="宋体" w:cs="宋体"/>
          <w:sz w:val="28"/>
          <w:szCs w:val="28"/>
        </w:rPr>
      </w:pPr>
      <w:r>
        <w:rPr>
          <w:rFonts w:hint="eastAsia" w:ascii="宋体" w:cs="宋体"/>
          <w:sz w:val="28"/>
          <w:szCs w:val="28"/>
        </w:rPr>
        <w:t>日期：   年   月   日</w:t>
      </w:r>
    </w:p>
    <w:bookmarkEnd w:id="75"/>
    <w:bookmarkEnd w:id="76"/>
    <w:p w14:paraId="0CB57A66">
      <w:pPr>
        <w:snapToGrid w:val="0"/>
        <w:spacing w:line="400" w:lineRule="exact"/>
        <w:ind w:firstLine="160"/>
        <w:rPr>
          <w:rFonts w:ascii="宋体" w:cs="宋体"/>
          <w:kern w:val="0"/>
          <w:sz w:val="32"/>
          <w:szCs w:val="32"/>
        </w:rPr>
      </w:pPr>
    </w:p>
    <w:p w14:paraId="2CA407B8">
      <w:pPr>
        <w:snapToGrid w:val="0"/>
        <w:spacing w:line="400" w:lineRule="exact"/>
        <w:ind w:firstLine="160"/>
        <w:rPr>
          <w:rFonts w:ascii="宋体" w:cs="宋体"/>
          <w:kern w:val="0"/>
          <w:sz w:val="32"/>
          <w:szCs w:val="32"/>
        </w:rPr>
      </w:pPr>
    </w:p>
    <w:p w14:paraId="22B30C84">
      <w:pPr>
        <w:snapToGrid w:val="0"/>
        <w:spacing w:line="400" w:lineRule="exact"/>
        <w:ind w:firstLine="160"/>
        <w:rPr>
          <w:rFonts w:ascii="宋体" w:cs="宋体"/>
          <w:kern w:val="0"/>
          <w:sz w:val="32"/>
          <w:szCs w:val="32"/>
        </w:rPr>
      </w:pPr>
    </w:p>
    <w:p w14:paraId="7ACAA850">
      <w:pPr>
        <w:snapToGrid w:val="0"/>
        <w:spacing w:line="400" w:lineRule="exact"/>
        <w:ind w:firstLine="160"/>
        <w:rPr>
          <w:rFonts w:ascii="宋体" w:cs="宋体"/>
          <w:kern w:val="0"/>
          <w:sz w:val="32"/>
          <w:szCs w:val="32"/>
        </w:rPr>
      </w:pPr>
    </w:p>
    <w:p w14:paraId="72A0D510">
      <w:pPr>
        <w:snapToGrid w:val="0"/>
        <w:spacing w:line="400" w:lineRule="exact"/>
        <w:ind w:firstLine="160"/>
        <w:rPr>
          <w:rFonts w:ascii="宋体" w:cs="宋体"/>
          <w:kern w:val="0"/>
          <w:sz w:val="32"/>
          <w:szCs w:val="32"/>
        </w:rPr>
      </w:pPr>
    </w:p>
    <w:p w14:paraId="3560F99A">
      <w:pPr>
        <w:snapToGrid w:val="0"/>
        <w:spacing w:line="400" w:lineRule="exact"/>
        <w:ind w:firstLine="160"/>
        <w:rPr>
          <w:rFonts w:ascii="宋体" w:cs="宋体"/>
          <w:kern w:val="0"/>
          <w:sz w:val="32"/>
          <w:szCs w:val="32"/>
        </w:rPr>
      </w:pPr>
    </w:p>
    <w:p w14:paraId="1C455531">
      <w:pPr>
        <w:snapToGrid w:val="0"/>
        <w:spacing w:line="400" w:lineRule="exact"/>
        <w:ind w:firstLine="160"/>
        <w:rPr>
          <w:rFonts w:ascii="宋体" w:cs="宋体"/>
          <w:kern w:val="0"/>
          <w:sz w:val="32"/>
          <w:szCs w:val="32"/>
        </w:rPr>
      </w:pPr>
    </w:p>
    <w:p w14:paraId="4EC22BD6">
      <w:pPr>
        <w:snapToGrid w:val="0"/>
        <w:spacing w:line="400" w:lineRule="exact"/>
        <w:ind w:firstLine="160"/>
        <w:rPr>
          <w:rFonts w:ascii="宋体" w:cs="宋体"/>
          <w:kern w:val="0"/>
          <w:sz w:val="32"/>
          <w:szCs w:val="32"/>
        </w:rPr>
      </w:pPr>
    </w:p>
    <w:p w14:paraId="2E7F056D">
      <w:pPr>
        <w:snapToGrid w:val="0"/>
        <w:spacing w:line="400" w:lineRule="exact"/>
        <w:ind w:firstLine="160"/>
        <w:rPr>
          <w:rFonts w:ascii="宋体" w:cs="宋体"/>
          <w:kern w:val="0"/>
          <w:sz w:val="32"/>
          <w:szCs w:val="32"/>
        </w:rPr>
      </w:pPr>
    </w:p>
    <w:p w14:paraId="046BA322">
      <w:pPr>
        <w:pStyle w:val="2"/>
        <w:ind w:left="480" w:firstLine="640"/>
        <w:rPr>
          <w:rFonts w:ascii="宋体" w:cs="宋体"/>
          <w:kern w:val="0"/>
          <w:sz w:val="32"/>
          <w:szCs w:val="32"/>
        </w:rPr>
      </w:pPr>
    </w:p>
    <w:p w14:paraId="17B0D779">
      <w:pPr>
        <w:ind w:firstLine="160"/>
        <w:rPr>
          <w:rFonts w:ascii="宋体" w:cs="宋体"/>
          <w:kern w:val="0"/>
          <w:sz w:val="32"/>
          <w:szCs w:val="32"/>
        </w:rPr>
      </w:pPr>
    </w:p>
    <w:p w14:paraId="754F567B">
      <w:pPr>
        <w:pStyle w:val="2"/>
        <w:ind w:left="480" w:firstLine="640"/>
        <w:rPr>
          <w:rFonts w:ascii="宋体" w:cs="宋体"/>
          <w:kern w:val="0"/>
          <w:sz w:val="32"/>
          <w:szCs w:val="32"/>
        </w:rPr>
      </w:pPr>
    </w:p>
    <w:p w14:paraId="38329D92"/>
    <w:p w14:paraId="7ACCAAAC">
      <w:pPr>
        <w:ind w:firstLine="160"/>
        <w:rPr>
          <w:rFonts w:ascii="宋体" w:cs="宋体"/>
          <w:kern w:val="0"/>
          <w:sz w:val="32"/>
          <w:szCs w:val="32"/>
        </w:rPr>
      </w:pPr>
    </w:p>
    <w:p w14:paraId="7F3A96A1">
      <w:pPr>
        <w:pStyle w:val="77"/>
        <w:jc w:val="both"/>
        <w:rPr>
          <w:rFonts w:ascii="宋体" w:hAnsi="宋体"/>
          <w:b/>
          <w:bCs/>
          <w:sz w:val="28"/>
          <w:szCs w:val="28"/>
        </w:rPr>
      </w:pPr>
    </w:p>
    <w:p w14:paraId="62EFA606">
      <w:pPr>
        <w:pStyle w:val="77"/>
        <w:jc w:val="both"/>
        <w:rPr>
          <w:rFonts w:ascii="宋体" w:hAnsi="宋体" w:cs="宋体"/>
          <w:bCs/>
          <w:sz w:val="28"/>
          <w:szCs w:val="28"/>
        </w:rPr>
      </w:pPr>
      <w:r>
        <w:rPr>
          <w:rFonts w:hint="eastAsia" w:ascii="宋体" w:hAnsi="宋体"/>
          <w:b/>
          <w:bCs/>
          <w:sz w:val="28"/>
          <w:szCs w:val="28"/>
        </w:rPr>
        <w:t>附件9</w:t>
      </w:r>
    </w:p>
    <w:p w14:paraId="17BA30F0">
      <w:pPr>
        <w:pStyle w:val="4"/>
        <w:ind w:firstLine="161"/>
        <w:rPr>
          <w:rFonts w:ascii="宋体" w:eastAsia="宋体"/>
          <w:b/>
          <w:bCs/>
          <w:sz w:val="32"/>
          <w:szCs w:val="32"/>
        </w:rPr>
      </w:pPr>
      <w:r>
        <w:rPr>
          <w:rFonts w:hint="eastAsia" w:ascii="宋体" w:eastAsia="宋体"/>
          <w:b/>
          <w:bCs/>
          <w:sz w:val="32"/>
          <w:szCs w:val="32"/>
        </w:rPr>
        <w:t xml:space="preserve">投标报价清单一览表 </w:t>
      </w:r>
    </w:p>
    <w:tbl>
      <w:tblPr>
        <w:tblStyle w:val="23"/>
        <w:tblW w:w="10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59"/>
        <w:gridCol w:w="3648"/>
        <w:gridCol w:w="840"/>
        <w:gridCol w:w="816"/>
        <w:gridCol w:w="1501"/>
        <w:gridCol w:w="1907"/>
      </w:tblGrid>
      <w:tr w14:paraId="7CC9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exact"/>
          <w:jc w:val="center"/>
        </w:trPr>
        <w:tc>
          <w:tcPr>
            <w:tcW w:w="768" w:type="dxa"/>
            <w:vAlign w:val="center"/>
          </w:tcPr>
          <w:p w14:paraId="7F253163">
            <w:pPr>
              <w:snapToGrid w:val="0"/>
              <w:spacing w:line="360" w:lineRule="auto"/>
              <w:jc w:val="center"/>
              <w:rPr>
                <w:rFonts w:ascii="宋体" w:cs="宋体"/>
                <w:b/>
              </w:rPr>
            </w:pPr>
            <w:r>
              <w:rPr>
                <w:rFonts w:hint="eastAsia" w:ascii="宋体" w:cs="宋体"/>
                <w:b/>
              </w:rPr>
              <w:t>序号</w:t>
            </w:r>
          </w:p>
        </w:tc>
        <w:tc>
          <w:tcPr>
            <w:tcW w:w="1359" w:type="dxa"/>
            <w:vAlign w:val="center"/>
          </w:tcPr>
          <w:p w14:paraId="7F8FDD4F">
            <w:pPr>
              <w:snapToGrid w:val="0"/>
              <w:spacing w:line="360" w:lineRule="auto"/>
              <w:jc w:val="center"/>
              <w:rPr>
                <w:rFonts w:ascii="宋体" w:cs="宋体"/>
                <w:b/>
              </w:rPr>
            </w:pPr>
            <w:r>
              <w:rPr>
                <w:rFonts w:hint="eastAsia" w:ascii="宋体" w:cs="宋体"/>
                <w:b/>
              </w:rPr>
              <w:t>名称</w:t>
            </w:r>
          </w:p>
        </w:tc>
        <w:tc>
          <w:tcPr>
            <w:tcW w:w="3648" w:type="dxa"/>
            <w:vAlign w:val="center"/>
          </w:tcPr>
          <w:p w14:paraId="31FD4598">
            <w:pPr>
              <w:snapToGrid w:val="0"/>
              <w:spacing w:line="360" w:lineRule="auto"/>
              <w:jc w:val="center"/>
              <w:rPr>
                <w:rFonts w:ascii="宋体" w:cs="宋体"/>
                <w:b/>
              </w:rPr>
            </w:pPr>
            <w:r>
              <w:rPr>
                <w:rFonts w:hint="eastAsia" w:ascii="宋体" w:cs="宋体"/>
                <w:b/>
              </w:rPr>
              <w:t xml:space="preserve">规格、技术参数 </w:t>
            </w:r>
          </w:p>
        </w:tc>
        <w:tc>
          <w:tcPr>
            <w:tcW w:w="840" w:type="dxa"/>
            <w:vAlign w:val="center"/>
          </w:tcPr>
          <w:p w14:paraId="5A491DC2">
            <w:pPr>
              <w:snapToGrid w:val="0"/>
              <w:spacing w:line="360" w:lineRule="auto"/>
              <w:jc w:val="center"/>
              <w:rPr>
                <w:rFonts w:ascii="宋体" w:cs="宋体"/>
                <w:b/>
              </w:rPr>
            </w:pPr>
            <w:r>
              <w:rPr>
                <w:rFonts w:hint="eastAsia" w:ascii="宋体" w:cs="宋体"/>
                <w:b/>
              </w:rPr>
              <w:t>单位</w:t>
            </w:r>
          </w:p>
        </w:tc>
        <w:tc>
          <w:tcPr>
            <w:tcW w:w="816" w:type="dxa"/>
            <w:vAlign w:val="center"/>
          </w:tcPr>
          <w:p w14:paraId="2D38C552">
            <w:pPr>
              <w:snapToGrid w:val="0"/>
              <w:spacing w:line="360" w:lineRule="auto"/>
              <w:jc w:val="center"/>
              <w:rPr>
                <w:rFonts w:ascii="宋体" w:cs="宋体"/>
                <w:b/>
              </w:rPr>
            </w:pPr>
            <w:r>
              <w:rPr>
                <w:rFonts w:hint="eastAsia" w:ascii="宋体" w:cs="宋体"/>
                <w:b/>
              </w:rPr>
              <w:t>数量</w:t>
            </w:r>
          </w:p>
        </w:tc>
        <w:tc>
          <w:tcPr>
            <w:tcW w:w="1501" w:type="dxa"/>
            <w:vAlign w:val="center"/>
          </w:tcPr>
          <w:p w14:paraId="254350D4">
            <w:pPr>
              <w:adjustRightInd w:val="0"/>
              <w:snapToGrid w:val="0"/>
              <w:jc w:val="center"/>
              <w:rPr>
                <w:rFonts w:ascii="宋体" w:cs="宋体"/>
                <w:b/>
              </w:rPr>
            </w:pPr>
          </w:p>
          <w:p w14:paraId="5C7C2136">
            <w:pPr>
              <w:snapToGrid w:val="0"/>
              <w:spacing w:line="360" w:lineRule="auto"/>
              <w:jc w:val="center"/>
              <w:rPr>
                <w:rFonts w:ascii="宋体" w:cs="宋体"/>
                <w:b/>
              </w:rPr>
            </w:pPr>
            <w:r>
              <w:rPr>
                <w:rFonts w:hint="eastAsia" w:ascii="宋体" w:cs="宋体"/>
                <w:b/>
              </w:rPr>
              <w:t>全费用单价（元）</w:t>
            </w:r>
          </w:p>
        </w:tc>
        <w:tc>
          <w:tcPr>
            <w:tcW w:w="1907" w:type="dxa"/>
            <w:vAlign w:val="center"/>
          </w:tcPr>
          <w:p w14:paraId="2D1BBD4F">
            <w:pPr>
              <w:snapToGrid w:val="0"/>
              <w:spacing w:line="360" w:lineRule="auto"/>
              <w:jc w:val="center"/>
              <w:rPr>
                <w:rFonts w:ascii="宋体" w:cs="宋体"/>
                <w:b/>
              </w:rPr>
            </w:pPr>
            <w:r>
              <w:rPr>
                <w:rFonts w:hint="eastAsia" w:ascii="宋体" w:cs="宋体"/>
                <w:b/>
              </w:rPr>
              <w:t>合价（元）</w:t>
            </w:r>
          </w:p>
        </w:tc>
      </w:tr>
      <w:tr w14:paraId="191C1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68" w:type="dxa"/>
            <w:vAlign w:val="center"/>
          </w:tcPr>
          <w:p w14:paraId="0CB028A6">
            <w:pPr>
              <w:widowControl/>
              <w:jc w:val="center"/>
              <w:textAlignment w:val="center"/>
              <w:rPr>
                <w:rFonts w:ascii="宋体" w:cs="宋体"/>
                <w:szCs w:val="21"/>
              </w:rPr>
            </w:pPr>
            <w:r>
              <w:rPr>
                <w:rFonts w:hint="eastAsia" w:ascii="宋体" w:cs="宋体"/>
                <w:kern w:val="0"/>
                <w:szCs w:val="21"/>
              </w:rPr>
              <w:t>1</w:t>
            </w:r>
          </w:p>
        </w:tc>
        <w:tc>
          <w:tcPr>
            <w:tcW w:w="1359" w:type="dxa"/>
            <w:vAlign w:val="center"/>
          </w:tcPr>
          <w:p w14:paraId="17F65A3B">
            <w:pPr>
              <w:tabs>
                <w:tab w:val="left" w:pos="5325"/>
              </w:tabs>
              <w:autoSpaceDE w:val="0"/>
              <w:autoSpaceDN w:val="0"/>
              <w:adjustRightInd w:val="0"/>
              <w:snapToGrid w:val="0"/>
              <w:spacing w:line="360" w:lineRule="auto"/>
              <w:ind w:firstLine="113"/>
              <w:contextualSpacing/>
              <w:jc w:val="center"/>
              <w:rPr>
                <w:rFonts w:ascii="宋体" w:cs="宋体"/>
                <w:szCs w:val="21"/>
              </w:rPr>
            </w:pPr>
            <w:r>
              <w:rPr>
                <w:rFonts w:hint="eastAsia" w:ascii="宋体" w:cs="宋体"/>
                <w:spacing w:val="-7"/>
              </w:rPr>
              <w:t>超声乳化仪</w:t>
            </w:r>
          </w:p>
        </w:tc>
        <w:tc>
          <w:tcPr>
            <w:tcW w:w="3648" w:type="dxa"/>
            <w:vAlign w:val="center"/>
          </w:tcPr>
          <w:p w14:paraId="25FAF545">
            <w:pPr>
              <w:widowControl/>
              <w:jc w:val="center"/>
              <w:textAlignment w:val="center"/>
              <w:rPr>
                <w:rFonts w:ascii="宋体" w:cs="宋体"/>
                <w:szCs w:val="21"/>
              </w:rPr>
            </w:pPr>
            <w:r>
              <w:rPr>
                <w:rFonts w:hint="eastAsia" w:ascii="宋体" w:cs="宋体"/>
                <w:szCs w:val="21"/>
              </w:rPr>
              <w:t>详见第三部分“项目需求”</w:t>
            </w:r>
          </w:p>
        </w:tc>
        <w:tc>
          <w:tcPr>
            <w:tcW w:w="840" w:type="dxa"/>
            <w:vAlign w:val="center"/>
          </w:tcPr>
          <w:p w14:paraId="05815F90">
            <w:pPr>
              <w:widowControl/>
              <w:jc w:val="center"/>
              <w:textAlignment w:val="center"/>
              <w:rPr>
                <w:rFonts w:ascii="宋体" w:cs="宋体"/>
                <w:szCs w:val="21"/>
              </w:rPr>
            </w:pPr>
            <w:r>
              <w:rPr>
                <w:rFonts w:hint="eastAsia" w:ascii="宋体" w:cs="宋体"/>
                <w:szCs w:val="21"/>
              </w:rPr>
              <w:t>套</w:t>
            </w:r>
          </w:p>
        </w:tc>
        <w:tc>
          <w:tcPr>
            <w:tcW w:w="816" w:type="dxa"/>
            <w:vAlign w:val="center"/>
          </w:tcPr>
          <w:p w14:paraId="69D3A79D">
            <w:pPr>
              <w:widowControl/>
              <w:jc w:val="center"/>
              <w:textAlignment w:val="center"/>
              <w:rPr>
                <w:rFonts w:ascii="宋体" w:cs="宋体"/>
                <w:szCs w:val="21"/>
              </w:rPr>
            </w:pPr>
            <w:r>
              <w:rPr>
                <w:rFonts w:hint="eastAsia" w:ascii="宋体" w:cs="宋体"/>
                <w:szCs w:val="21"/>
              </w:rPr>
              <w:t xml:space="preserve">1 </w:t>
            </w:r>
          </w:p>
        </w:tc>
        <w:tc>
          <w:tcPr>
            <w:tcW w:w="1501" w:type="dxa"/>
            <w:vAlign w:val="center"/>
          </w:tcPr>
          <w:p w14:paraId="5DAB7250">
            <w:pPr>
              <w:snapToGrid w:val="0"/>
              <w:spacing w:line="360" w:lineRule="auto"/>
              <w:jc w:val="center"/>
              <w:rPr>
                <w:rFonts w:ascii="宋体" w:cs="宋体"/>
              </w:rPr>
            </w:pPr>
          </w:p>
        </w:tc>
        <w:tc>
          <w:tcPr>
            <w:tcW w:w="1907" w:type="dxa"/>
            <w:vAlign w:val="center"/>
          </w:tcPr>
          <w:p w14:paraId="11D3A6D6">
            <w:pPr>
              <w:snapToGrid w:val="0"/>
              <w:spacing w:line="360" w:lineRule="auto"/>
              <w:jc w:val="center"/>
              <w:rPr>
                <w:rFonts w:ascii="宋体" w:cs="宋体"/>
              </w:rPr>
            </w:pPr>
          </w:p>
        </w:tc>
      </w:tr>
      <w:tr w14:paraId="266E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768" w:type="dxa"/>
            <w:vAlign w:val="center"/>
          </w:tcPr>
          <w:p w14:paraId="7C8E30F9">
            <w:pPr>
              <w:snapToGrid w:val="0"/>
              <w:spacing w:line="360" w:lineRule="auto"/>
              <w:jc w:val="center"/>
              <w:rPr>
                <w:rFonts w:ascii="宋体" w:cs="宋体"/>
              </w:rPr>
            </w:pPr>
            <w:r>
              <w:rPr>
                <w:rFonts w:hint="eastAsia" w:ascii="宋体" w:cs="宋体"/>
              </w:rPr>
              <w:t>合计</w:t>
            </w:r>
          </w:p>
        </w:tc>
        <w:tc>
          <w:tcPr>
            <w:tcW w:w="8164" w:type="dxa"/>
            <w:gridSpan w:val="5"/>
            <w:vAlign w:val="center"/>
          </w:tcPr>
          <w:p w14:paraId="40888BB2">
            <w:pPr>
              <w:snapToGrid w:val="0"/>
              <w:spacing w:line="360" w:lineRule="auto"/>
              <w:jc w:val="center"/>
              <w:rPr>
                <w:rFonts w:ascii="宋体" w:cs="宋体"/>
              </w:rPr>
            </w:pPr>
            <w:r>
              <w:rPr>
                <w:rFonts w:hint="eastAsia" w:ascii="宋体" w:cs="宋体"/>
                <w:kern w:val="0"/>
              </w:rPr>
              <w:t>投标总价</w:t>
            </w:r>
          </w:p>
        </w:tc>
        <w:tc>
          <w:tcPr>
            <w:tcW w:w="1907" w:type="dxa"/>
            <w:vAlign w:val="center"/>
          </w:tcPr>
          <w:p w14:paraId="6E2B9EA7">
            <w:pPr>
              <w:snapToGrid w:val="0"/>
              <w:spacing w:line="360" w:lineRule="auto"/>
              <w:jc w:val="center"/>
              <w:rPr>
                <w:rFonts w:ascii="宋体" w:cs="宋体"/>
              </w:rPr>
            </w:pPr>
          </w:p>
        </w:tc>
      </w:tr>
    </w:tbl>
    <w:p w14:paraId="19A94459">
      <w:pPr>
        <w:adjustRightInd w:val="0"/>
        <w:snapToGrid w:val="0"/>
        <w:spacing w:line="400" w:lineRule="exact"/>
        <w:rPr>
          <w:rFonts w:cs="宋体"/>
          <w:b/>
          <w:bCs/>
          <w:szCs w:val="21"/>
        </w:rPr>
      </w:pPr>
      <w:r>
        <w:rPr>
          <w:rFonts w:hint="eastAsia" w:ascii="宋体" w:cs="宋体"/>
          <w:b/>
          <w:kern w:val="0"/>
          <w:lang w:val="zh-CN"/>
        </w:rPr>
        <w:t>注：</w:t>
      </w:r>
      <w:r>
        <w:rPr>
          <w:rFonts w:hint="eastAsia" w:ascii="宋体"/>
          <w:b/>
          <w:szCs w:val="21"/>
        </w:rPr>
        <w:t>1.</w:t>
      </w:r>
      <w:r>
        <w:rPr>
          <w:rFonts w:hint="eastAsia" w:ascii="宋体" w:cs="宋体"/>
          <w:b/>
          <w:bCs/>
          <w:szCs w:val="21"/>
        </w:rPr>
        <w:t>本项目采用全费用单价报价，</w:t>
      </w:r>
      <w:r>
        <w:rPr>
          <w:rFonts w:hint="eastAsia" w:ascii="宋体"/>
          <w:b/>
          <w:szCs w:val="21"/>
        </w:rPr>
        <w:t>以上报价</w:t>
      </w:r>
      <w:r>
        <w:rPr>
          <w:rFonts w:hint="eastAsia" w:ascii="宋体" w:cs="宋体"/>
          <w:b/>
          <w:bCs/>
          <w:szCs w:val="21"/>
        </w:rPr>
        <w:t>包括招标文件所确定的招标范围内的全部内容，以及为完成上述内容所需的材料费、设备费、包装费、安装调试费、运输费、搬运费（含二次搬运）、人工费、垃圾清运费、备品配件费、管理费、免费质保费用、利润及规费税金</w:t>
      </w:r>
      <w:r>
        <w:rPr>
          <w:rFonts w:hint="eastAsia" w:ascii="宋体" w:cs="宋体"/>
          <w:b/>
          <w:szCs w:val="21"/>
        </w:rPr>
        <w:t>不可预见费等</w:t>
      </w:r>
      <w:r>
        <w:rPr>
          <w:rFonts w:hint="eastAsia" w:ascii="宋体" w:cs="宋体"/>
          <w:b/>
          <w:bCs/>
          <w:szCs w:val="21"/>
        </w:rPr>
        <w:t>。投标单位应结合市场行情及自身实际情况进行报价，并将项目相关的全部费用考虑到自己的投标报价中，否则由此引起的误投、错投风险及相应的损失须投标单位自行承担。供应商报价在合同履行期间不因市场变化因素而变动。本项目最终结算时，全费用单价不变，按实际供货量进行结算。</w:t>
      </w:r>
      <w:r>
        <w:rPr>
          <w:rFonts w:hint="eastAsia" w:cs="宋体"/>
          <w:b/>
          <w:bCs/>
          <w:szCs w:val="21"/>
        </w:rPr>
        <w:t>同时，投标报价也应包含合同履行过程中可能发生的一切风险，中标单位投标报价不再调整。</w:t>
      </w:r>
    </w:p>
    <w:p w14:paraId="39C84DAA">
      <w:pPr>
        <w:pStyle w:val="2"/>
        <w:adjustRightInd w:val="0"/>
        <w:snapToGrid w:val="0"/>
        <w:spacing w:after="0" w:line="400" w:lineRule="exact"/>
        <w:ind w:left="0" w:leftChars="0" w:firstLine="482"/>
        <w:rPr>
          <w:rFonts w:ascii="宋体" w:cs="宋体"/>
          <w:b/>
          <w:szCs w:val="21"/>
        </w:rPr>
      </w:pPr>
      <w:r>
        <w:rPr>
          <w:rFonts w:hint="eastAsia" w:ascii="宋体" w:cs="宋体"/>
          <w:b/>
          <w:szCs w:val="21"/>
        </w:rPr>
        <w:t>2. 以上数量×全费用单价=合价，合价之和等于投标总价。</w:t>
      </w:r>
    </w:p>
    <w:p w14:paraId="79D11142">
      <w:pPr>
        <w:adjustRightInd w:val="0"/>
        <w:snapToGrid w:val="0"/>
        <w:spacing w:line="400" w:lineRule="exact"/>
        <w:ind w:firstLine="482" w:firstLineChars="200"/>
        <w:rPr>
          <w:rFonts w:ascii="宋体" w:cs="宋体"/>
          <w:b/>
        </w:rPr>
      </w:pPr>
      <w:r>
        <w:rPr>
          <w:rFonts w:hint="eastAsia" w:ascii="宋体"/>
          <w:b/>
          <w:szCs w:val="21"/>
        </w:rPr>
        <w:t>3</w:t>
      </w:r>
      <w:r>
        <w:rPr>
          <w:rFonts w:hint="eastAsia" w:ascii="宋体" w:cs="宋体"/>
          <w:b/>
          <w:szCs w:val="21"/>
        </w:rPr>
        <w:t>.本项目标段采购控制价为：35万元；各投标单位书面投标文件中的报价低于（不含等于）招标控制价的为有效报价，否则视为无效报价，作废标处理。</w:t>
      </w:r>
    </w:p>
    <w:p w14:paraId="223C573B">
      <w:pPr>
        <w:adjustRightInd w:val="0"/>
        <w:snapToGrid w:val="0"/>
        <w:spacing w:line="360" w:lineRule="auto"/>
        <w:jc w:val="left"/>
        <w:rPr>
          <w:rFonts w:ascii="宋体" w:cs="宋体"/>
        </w:rPr>
      </w:pPr>
    </w:p>
    <w:p w14:paraId="3139C4E7">
      <w:pPr>
        <w:adjustRightInd w:val="0"/>
        <w:snapToGrid w:val="0"/>
        <w:spacing w:line="360" w:lineRule="auto"/>
        <w:jc w:val="left"/>
        <w:rPr>
          <w:rFonts w:ascii="宋体" w:cs="宋体"/>
          <w:u w:val="single"/>
        </w:rPr>
      </w:pPr>
      <w:r>
        <w:rPr>
          <w:rFonts w:hint="eastAsia" w:ascii="宋体" w:cs="宋体"/>
        </w:rPr>
        <w:t>投标人名称  (盖章)：</w:t>
      </w:r>
    </w:p>
    <w:p w14:paraId="779D2618">
      <w:pPr>
        <w:spacing w:line="360" w:lineRule="auto"/>
        <w:rPr>
          <w:rFonts w:ascii="宋体" w:cs="宋体"/>
        </w:rPr>
      </w:pPr>
    </w:p>
    <w:p w14:paraId="2168CD0A">
      <w:pPr>
        <w:spacing w:line="360" w:lineRule="auto"/>
        <w:rPr>
          <w:rFonts w:ascii="宋体" w:cs="宋体"/>
        </w:rPr>
      </w:pPr>
      <w:r>
        <w:rPr>
          <w:rFonts w:hint="eastAsia" w:ascii="宋体" w:cs="宋体"/>
        </w:rPr>
        <w:t>法定代表人或法定代表授权人(签字或盖章)：_______</w:t>
      </w:r>
    </w:p>
    <w:p w14:paraId="326CCE46">
      <w:pPr>
        <w:spacing w:line="360" w:lineRule="auto"/>
        <w:ind w:firstLine="5280" w:firstLineChars="2200"/>
        <w:rPr>
          <w:rFonts w:ascii="宋体" w:cs="宋体"/>
        </w:rPr>
      </w:pPr>
    </w:p>
    <w:p w14:paraId="7B5DA4B0">
      <w:pPr>
        <w:spacing w:line="360" w:lineRule="auto"/>
        <w:ind w:firstLine="5280" w:firstLineChars="2200"/>
        <w:rPr>
          <w:rFonts w:ascii="宋体" w:cs="宋体"/>
        </w:rPr>
      </w:pPr>
    </w:p>
    <w:p w14:paraId="3B51112E">
      <w:pPr>
        <w:spacing w:line="360" w:lineRule="auto"/>
        <w:ind w:firstLine="5280" w:firstLineChars="2200"/>
        <w:rPr>
          <w:rFonts w:ascii="宋体" w:cs="宋体"/>
        </w:rPr>
      </w:pPr>
      <w:r>
        <w:rPr>
          <w:rFonts w:hint="eastAsia" w:ascii="宋体" w:cs="宋体"/>
        </w:rPr>
        <w:t>日期：   年   月   日</w:t>
      </w:r>
    </w:p>
    <w:p w14:paraId="6BB9CCD2">
      <w:pPr>
        <w:spacing w:line="360" w:lineRule="auto"/>
        <w:ind w:firstLine="643" w:firstLineChars="200"/>
        <w:jc w:val="center"/>
        <w:rPr>
          <w:rStyle w:val="32"/>
          <w:rFonts w:ascii="宋体" w:cs="宋体"/>
          <w:b/>
          <w:bCs/>
          <w:color w:val="auto"/>
          <w:sz w:val="32"/>
          <w:szCs w:val="32"/>
          <w:u w:val="none"/>
        </w:rPr>
      </w:pPr>
    </w:p>
    <w:p w14:paraId="15C44AFE">
      <w:pPr>
        <w:spacing w:line="360" w:lineRule="auto"/>
        <w:ind w:firstLine="643" w:firstLineChars="200"/>
        <w:jc w:val="center"/>
        <w:rPr>
          <w:rStyle w:val="32"/>
          <w:rFonts w:ascii="宋体" w:cs="宋体"/>
          <w:b/>
          <w:bCs/>
          <w:color w:val="auto"/>
          <w:sz w:val="32"/>
          <w:szCs w:val="32"/>
          <w:u w:val="none"/>
        </w:rPr>
      </w:pPr>
    </w:p>
    <w:p w14:paraId="16F9DEFC">
      <w:pPr>
        <w:spacing w:line="360" w:lineRule="auto"/>
        <w:ind w:firstLine="643" w:firstLineChars="200"/>
        <w:jc w:val="center"/>
        <w:rPr>
          <w:rStyle w:val="32"/>
          <w:rFonts w:ascii="宋体" w:cs="宋体"/>
          <w:b/>
          <w:bCs/>
          <w:color w:val="auto"/>
          <w:sz w:val="32"/>
          <w:szCs w:val="32"/>
          <w:u w:val="none"/>
        </w:rPr>
      </w:pPr>
    </w:p>
    <w:p w14:paraId="5B280B40">
      <w:pPr>
        <w:spacing w:line="360" w:lineRule="auto"/>
        <w:ind w:firstLine="643" w:firstLineChars="200"/>
        <w:jc w:val="center"/>
        <w:rPr>
          <w:rStyle w:val="32"/>
          <w:rFonts w:ascii="宋体" w:cs="宋体"/>
          <w:b/>
          <w:bCs/>
          <w:color w:val="auto"/>
          <w:sz w:val="32"/>
          <w:szCs w:val="32"/>
          <w:u w:val="none"/>
        </w:rPr>
      </w:pPr>
    </w:p>
    <w:p w14:paraId="5D86E209">
      <w:pPr>
        <w:spacing w:line="360" w:lineRule="auto"/>
        <w:ind w:firstLine="643" w:firstLineChars="200"/>
        <w:jc w:val="center"/>
        <w:rPr>
          <w:rStyle w:val="32"/>
          <w:rFonts w:ascii="宋体" w:cs="宋体"/>
          <w:b/>
          <w:bCs/>
          <w:color w:val="auto"/>
          <w:sz w:val="32"/>
          <w:szCs w:val="32"/>
          <w:u w:val="none"/>
        </w:rPr>
      </w:pPr>
    </w:p>
    <w:p w14:paraId="5CAF337A">
      <w:pPr>
        <w:snapToGrid w:val="0"/>
        <w:spacing w:line="400" w:lineRule="exact"/>
        <w:ind w:firstLine="160"/>
        <w:rPr>
          <w:rFonts w:ascii="宋体" w:cs="宋体"/>
          <w:kern w:val="0"/>
          <w:sz w:val="32"/>
          <w:szCs w:val="32"/>
        </w:rPr>
      </w:pPr>
      <w:r>
        <w:rPr>
          <w:rFonts w:hint="eastAsia" w:ascii="宋体" w:cs="宋体"/>
          <w:kern w:val="0"/>
          <w:sz w:val="32"/>
          <w:szCs w:val="32"/>
        </w:rPr>
        <w:t>附件10</w:t>
      </w:r>
    </w:p>
    <w:p w14:paraId="44CD919B">
      <w:pPr>
        <w:snapToGrid w:val="0"/>
        <w:spacing w:line="300" w:lineRule="auto"/>
        <w:ind w:firstLine="141"/>
        <w:jc w:val="center"/>
        <w:outlineLvl w:val="0"/>
        <w:rPr>
          <w:rFonts w:ascii="宋体" w:cs="宋体"/>
          <w:b/>
          <w:bCs/>
          <w:sz w:val="28"/>
          <w:szCs w:val="28"/>
          <w:lang w:bidi="zh-CN"/>
        </w:rPr>
      </w:pPr>
      <w:r>
        <w:rPr>
          <w:rFonts w:hint="eastAsia" w:ascii="宋体" w:cs="宋体"/>
          <w:b/>
          <w:bCs/>
          <w:sz w:val="28"/>
          <w:szCs w:val="28"/>
          <w:lang w:bidi="zh-CN"/>
        </w:rPr>
        <w:t>中小企业声明函（工程、服务）</w:t>
      </w:r>
    </w:p>
    <w:p w14:paraId="4DC6FFC5">
      <w:pPr>
        <w:snapToGrid w:val="0"/>
        <w:spacing w:line="360" w:lineRule="auto"/>
        <w:ind w:firstLine="560" w:firstLineChars="200"/>
        <w:outlineLvl w:val="0"/>
        <w:rPr>
          <w:rFonts w:ascii="宋体" w:cs="宋体"/>
          <w:sz w:val="28"/>
          <w:szCs w:val="28"/>
          <w:lang w:bidi="zh-CN"/>
        </w:rPr>
      </w:pPr>
      <w:r>
        <w:rPr>
          <w:rFonts w:hint="eastAsia" w:ascii="宋体" w:cs="宋体"/>
          <w:sz w:val="28"/>
          <w:szCs w:val="28"/>
          <w:lang w:bidi="zh-CN"/>
        </w:rPr>
        <w:t>本公司（联合体）郑重声明，根据《政府采购促进中小企业发展管理办法》（财库﹝2020﹞46 号）的规定，本公司（联合体）参加</w:t>
      </w:r>
      <w:r>
        <w:rPr>
          <w:rFonts w:hint="eastAsia" w:ascii="宋体" w:cs="宋体"/>
          <w:sz w:val="28"/>
          <w:szCs w:val="28"/>
          <w:u w:val="single"/>
          <w:lang w:bidi="zh-CN"/>
        </w:rPr>
        <w:t>（单位名称）</w:t>
      </w:r>
      <w:r>
        <w:rPr>
          <w:rFonts w:hint="eastAsia" w:ascii="宋体" w:cs="宋体"/>
          <w:sz w:val="28"/>
          <w:szCs w:val="28"/>
          <w:lang w:bidi="zh-CN"/>
        </w:rPr>
        <w:t>的</w:t>
      </w:r>
      <w:r>
        <w:rPr>
          <w:rFonts w:hint="eastAsia" w:ascii="宋体" w:cs="宋体"/>
          <w:sz w:val="28"/>
          <w:szCs w:val="28"/>
          <w:u w:val="single"/>
          <w:lang w:bidi="zh-CN"/>
        </w:rPr>
        <w:t>（项目名称）</w:t>
      </w:r>
      <w:r>
        <w:rPr>
          <w:rFonts w:hint="eastAsia" w:ascii="宋体" w:cs="宋体"/>
          <w:sz w:val="28"/>
          <w:szCs w:val="28"/>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0EB6C189">
      <w:pPr>
        <w:snapToGrid w:val="0"/>
        <w:spacing w:line="360" w:lineRule="auto"/>
        <w:ind w:firstLine="140"/>
        <w:jc w:val="left"/>
        <w:outlineLvl w:val="0"/>
        <w:rPr>
          <w:rFonts w:ascii="宋体" w:cs="宋体"/>
          <w:sz w:val="28"/>
          <w:szCs w:val="28"/>
          <w:lang w:bidi="zh-CN"/>
        </w:rPr>
      </w:pPr>
      <w:r>
        <w:rPr>
          <w:rFonts w:hint="eastAsia" w:ascii="宋体" w:cs="宋体"/>
          <w:sz w:val="28"/>
          <w:szCs w:val="28"/>
          <w:lang w:bidi="zh-CN"/>
        </w:rPr>
        <w:t>1.</w:t>
      </w:r>
      <w:r>
        <w:rPr>
          <w:rFonts w:hint="eastAsia" w:ascii="宋体" w:cs="宋体"/>
          <w:sz w:val="28"/>
          <w:szCs w:val="28"/>
          <w:u w:val="single"/>
          <w:lang w:bidi="zh-CN"/>
        </w:rPr>
        <w:t>（标的名称）</w:t>
      </w:r>
      <w:r>
        <w:rPr>
          <w:rFonts w:hint="eastAsia" w:ascii="宋体" w:cs="宋体"/>
          <w:sz w:val="28"/>
          <w:szCs w:val="28"/>
          <w:lang w:bidi="zh-CN"/>
        </w:rPr>
        <w:t>，属于（</w:t>
      </w:r>
      <w:r>
        <w:rPr>
          <w:rFonts w:hint="eastAsia" w:ascii="宋体" w:cs="宋体"/>
          <w:sz w:val="28"/>
          <w:szCs w:val="28"/>
          <w:u w:val="single"/>
          <w:lang w:bidi="zh-CN"/>
        </w:rPr>
        <w:t>采购文件中明确的所属行业）</w:t>
      </w:r>
      <w:r>
        <w:rPr>
          <w:rFonts w:hint="eastAsia" w:ascii="宋体" w:cs="宋体"/>
          <w:sz w:val="28"/>
          <w:szCs w:val="28"/>
          <w:lang w:bidi="zh-CN"/>
        </w:rPr>
        <w:t>；承建（承接）企业为</w:t>
      </w:r>
      <w:r>
        <w:rPr>
          <w:rFonts w:hint="eastAsia" w:ascii="宋体" w:cs="宋体"/>
          <w:sz w:val="28"/>
          <w:szCs w:val="28"/>
          <w:u w:val="single"/>
          <w:lang w:bidi="zh-CN"/>
        </w:rPr>
        <w:t>（企业名称）</w:t>
      </w:r>
      <w:r>
        <w:rPr>
          <w:rFonts w:hint="eastAsia" w:ascii="宋体" w:cs="宋体"/>
          <w:sz w:val="28"/>
          <w:szCs w:val="28"/>
          <w:lang w:bidi="zh-CN"/>
        </w:rPr>
        <w:t>，从业人员</w:t>
      </w:r>
      <w:r>
        <w:rPr>
          <w:rFonts w:hint="eastAsia" w:ascii="宋体" w:cs="宋体"/>
          <w:sz w:val="28"/>
          <w:szCs w:val="28"/>
          <w:u w:val="single"/>
          <w:lang w:bidi="zh-CN"/>
        </w:rPr>
        <w:tab/>
      </w:r>
      <w:r>
        <w:rPr>
          <w:rFonts w:hint="eastAsia" w:ascii="宋体" w:cs="宋体"/>
          <w:sz w:val="28"/>
          <w:szCs w:val="28"/>
          <w:lang w:bidi="zh-CN"/>
        </w:rPr>
        <w:t>人，营业收入为</w:t>
      </w:r>
      <w:r>
        <w:rPr>
          <w:rFonts w:hint="eastAsia" w:ascii="宋体" w:cs="宋体"/>
          <w:sz w:val="28"/>
          <w:szCs w:val="28"/>
          <w:u w:val="single"/>
          <w:lang w:bidi="zh-CN"/>
        </w:rPr>
        <w:tab/>
      </w:r>
      <w:r>
        <w:rPr>
          <w:rFonts w:hint="eastAsia" w:ascii="宋体" w:cs="宋体"/>
          <w:sz w:val="28"/>
          <w:szCs w:val="28"/>
          <w:lang w:bidi="zh-CN"/>
        </w:rPr>
        <w:t>万元，资产总额为</w:t>
      </w:r>
      <w:r>
        <w:rPr>
          <w:rFonts w:hint="eastAsia" w:ascii="宋体" w:cs="宋体"/>
          <w:sz w:val="28"/>
          <w:szCs w:val="28"/>
          <w:u w:val="single"/>
          <w:lang w:bidi="zh-CN"/>
        </w:rPr>
        <w:tab/>
      </w:r>
      <w:r>
        <w:rPr>
          <w:rFonts w:hint="eastAsia" w:ascii="宋体" w:cs="宋体"/>
          <w:sz w:val="28"/>
          <w:szCs w:val="28"/>
          <w:lang w:bidi="zh-CN"/>
        </w:rPr>
        <w:t>万元，属于</w:t>
      </w:r>
      <w:r>
        <w:rPr>
          <w:rFonts w:hint="eastAsia" w:ascii="宋体" w:cs="宋体"/>
          <w:sz w:val="28"/>
          <w:szCs w:val="28"/>
          <w:u w:val="single"/>
          <w:lang w:bidi="zh-CN"/>
        </w:rPr>
        <w:t>（中型企业、小型企业、微型企业）</w:t>
      </w:r>
      <w:r>
        <w:rPr>
          <w:rFonts w:hint="eastAsia" w:ascii="宋体" w:cs="宋体"/>
          <w:sz w:val="28"/>
          <w:szCs w:val="28"/>
          <w:lang w:bidi="zh-CN"/>
        </w:rPr>
        <w:t>；</w:t>
      </w:r>
    </w:p>
    <w:p w14:paraId="55DC1C1C">
      <w:pPr>
        <w:snapToGrid w:val="0"/>
        <w:spacing w:line="360" w:lineRule="auto"/>
        <w:ind w:firstLine="140"/>
        <w:jc w:val="left"/>
        <w:outlineLvl w:val="0"/>
        <w:rPr>
          <w:rFonts w:ascii="宋体" w:cs="宋体"/>
          <w:sz w:val="28"/>
          <w:szCs w:val="28"/>
          <w:lang w:bidi="zh-CN"/>
        </w:rPr>
      </w:pPr>
      <w:r>
        <w:rPr>
          <w:rFonts w:hint="eastAsia" w:ascii="宋体" w:cs="宋体"/>
          <w:sz w:val="28"/>
          <w:szCs w:val="28"/>
          <w:lang w:bidi="zh-CN"/>
        </w:rPr>
        <w:t>2.</w:t>
      </w:r>
      <w:r>
        <w:rPr>
          <w:rFonts w:hint="eastAsia" w:ascii="宋体" w:cs="宋体"/>
          <w:sz w:val="28"/>
          <w:szCs w:val="28"/>
          <w:u w:val="single"/>
          <w:lang w:bidi="zh-CN"/>
        </w:rPr>
        <w:t>（标的名称）</w:t>
      </w:r>
      <w:r>
        <w:rPr>
          <w:rFonts w:hint="eastAsia" w:ascii="宋体" w:cs="宋体"/>
          <w:sz w:val="28"/>
          <w:szCs w:val="28"/>
          <w:lang w:bidi="zh-CN"/>
        </w:rPr>
        <w:t>，属于（</w:t>
      </w:r>
      <w:r>
        <w:rPr>
          <w:rFonts w:hint="eastAsia" w:ascii="宋体" w:cs="宋体"/>
          <w:sz w:val="28"/>
          <w:szCs w:val="28"/>
          <w:u w:val="single"/>
          <w:lang w:bidi="zh-CN"/>
        </w:rPr>
        <w:t>采购文件中明确的所属行业）</w:t>
      </w:r>
      <w:r>
        <w:rPr>
          <w:rFonts w:hint="eastAsia" w:ascii="宋体" w:cs="宋体"/>
          <w:sz w:val="28"/>
          <w:szCs w:val="28"/>
          <w:lang w:bidi="zh-CN"/>
        </w:rPr>
        <w:t>；承建（承接）企业为</w:t>
      </w:r>
      <w:r>
        <w:rPr>
          <w:rFonts w:hint="eastAsia" w:ascii="宋体" w:cs="宋体"/>
          <w:sz w:val="28"/>
          <w:szCs w:val="28"/>
          <w:u w:val="single"/>
          <w:lang w:bidi="zh-CN"/>
        </w:rPr>
        <w:t>（企业名称）</w:t>
      </w:r>
      <w:r>
        <w:rPr>
          <w:rFonts w:hint="eastAsia" w:ascii="宋体" w:cs="宋体"/>
          <w:sz w:val="28"/>
          <w:szCs w:val="28"/>
          <w:lang w:bidi="zh-CN"/>
        </w:rPr>
        <w:t>，从业人员</w:t>
      </w:r>
      <w:r>
        <w:rPr>
          <w:rFonts w:hint="eastAsia" w:ascii="宋体" w:cs="宋体"/>
          <w:sz w:val="28"/>
          <w:szCs w:val="28"/>
          <w:u w:val="single"/>
          <w:lang w:bidi="zh-CN"/>
        </w:rPr>
        <w:tab/>
      </w:r>
      <w:r>
        <w:rPr>
          <w:rFonts w:hint="eastAsia" w:ascii="宋体" w:cs="宋体"/>
          <w:sz w:val="28"/>
          <w:szCs w:val="28"/>
          <w:lang w:bidi="zh-CN"/>
        </w:rPr>
        <w:t>人，营业收入为</w:t>
      </w:r>
      <w:r>
        <w:rPr>
          <w:rFonts w:hint="eastAsia" w:ascii="宋体" w:cs="宋体"/>
          <w:sz w:val="28"/>
          <w:szCs w:val="28"/>
          <w:u w:val="single"/>
          <w:lang w:bidi="zh-CN"/>
        </w:rPr>
        <w:tab/>
      </w:r>
      <w:r>
        <w:rPr>
          <w:rFonts w:hint="eastAsia" w:ascii="宋体" w:cs="宋体"/>
          <w:sz w:val="28"/>
          <w:szCs w:val="28"/>
          <w:lang w:bidi="zh-CN"/>
        </w:rPr>
        <w:t>万元，资产总额为</w:t>
      </w:r>
      <w:r>
        <w:rPr>
          <w:rFonts w:hint="eastAsia" w:ascii="宋体" w:cs="宋体"/>
          <w:sz w:val="28"/>
          <w:szCs w:val="28"/>
          <w:u w:val="single"/>
          <w:lang w:bidi="zh-CN"/>
        </w:rPr>
        <w:tab/>
      </w:r>
      <w:r>
        <w:rPr>
          <w:rFonts w:hint="eastAsia" w:ascii="宋体" w:cs="宋体"/>
          <w:sz w:val="28"/>
          <w:szCs w:val="28"/>
          <w:lang w:bidi="zh-CN"/>
        </w:rPr>
        <w:t>万元，属于</w:t>
      </w:r>
      <w:r>
        <w:rPr>
          <w:rFonts w:hint="eastAsia" w:ascii="宋体" w:cs="宋体"/>
          <w:sz w:val="28"/>
          <w:szCs w:val="28"/>
          <w:u w:val="single"/>
          <w:lang w:bidi="zh-CN"/>
        </w:rPr>
        <w:t>（中型企业、小型企业、微型企业）</w:t>
      </w:r>
      <w:r>
        <w:rPr>
          <w:rFonts w:hint="eastAsia" w:ascii="宋体" w:cs="宋体"/>
          <w:sz w:val="28"/>
          <w:szCs w:val="28"/>
          <w:lang w:bidi="zh-CN"/>
        </w:rPr>
        <w:t>；</w:t>
      </w:r>
    </w:p>
    <w:p w14:paraId="4314250E">
      <w:pPr>
        <w:snapToGrid w:val="0"/>
        <w:spacing w:line="360" w:lineRule="auto"/>
        <w:ind w:firstLine="140"/>
        <w:jc w:val="left"/>
        <w:outlineLvl w:val="0"/>
        <w:rPr>
          <w:rFonts w:ascii="宋体" w:cs="宋体"/>
          <w:sz w:val="28"/>
          <w:szCs w:val="28"/>
          <w:lang w:bidi="zh-CN"/>
        </w:rPr>
      </w:pPr>
      <w:r>
        <w:rPr>
          <w:rFonts w:hint="eastAsia" w:ascii="宋体" w:cs="宋体"/>
          <w:sz w:val="28"/>
          <w:szCs w:val="28"/>
          <w:lang w:bidi="zh-CN"/>
        </w:rPr>
        <w:t>……</w:t>
      </w:r>
    </w:p>
    <w:p w14:paraId="5425B20D">
      <w:pPr>
        <w:snapToGrid w:val="0"/>
        <w:spacing w:line="360" w:lineRule="auto"/>
        <w:ind w:firstLine="560" w:firstLineChars="200"/>
        <w:outlineLvl w:val="0"/>
        <w:rPr>
          <w:rFonts w:ascii="宋体" w:cs="宋体"/>
          <w:sz w:val="28"/>
          <w:szCs w:val="28"/>
          <w:lang w:bidi="zh-CN"/>
        </w:rPr>
      </w:pPr>
      <w:r>
        <w:rPr>
          <w:rFonts w:hint="eastAsia" w:ascii="宋体" w:cs="宋体"/>
          <w:sz w:val="28"/>
          <w:szCs w:val="28"/>
          <w:lang w:bidi="zh-CN"/>
        </w:rPr>
        <w:t>以上企业，不属于大企业的分支机构，不存在控股股东为大企业的情形，也不存在与大企业的负责人为同一人的情形。</w:t>
      </w:r>
    </w:p>
    <w:p w14:paraId="68CC6555">
      <w:pPr>
        <w:snapToGrid w:val="0"/>
        <w:spacing w:line="360" w:lineRule="auto"/>
        <w:ind w:firstLine="560" w:firstLineChars="200"/>
        <w:outlineLvl w:val="0"/>
        <w:rPr>
          <w:rFonts w:ascii="宋体" w:cs="宋体"/>
          <w:sz w:val="28"/>
          <w:szCs w:val="28"/>
          <w:lang w:bidi="zh-CN"/>
        </w:rPr>
      </w:pPr>
      <w:r>
        <w:rPr>
          <w:rFonts w:hint="eastAsia" w:ascii="宋体" w:cs="宋体"/>
          <w:sz w:val="28"/>
          <w:szCs w:val="28"/>
          <w:lang w:bidi="zh-CN"/>
        </w:rPr>
        <w:t>本企业对上述声明内容的真实性负责。如有虚假，将依法承担相应责任。</w:t>
      </w:r>
    </w:p>
    <w:p w14:paraId="2A5EEF3C">
      <w:pPr>
        <w:snapToGrid w:val="0"/>
        <w:spacing w:line="300" w:lineRule="auto"/>
        <w:ind w:firstLine="140"/>
        <w:jc w:val="center"/>
        <w:outlineLvl w:val="0"/>
        <w:rPr>
          <w:rFonts w:ascii="宋体" w:cs="宋体"/>
          <w:sz w:val="28"/>
          <w:szCs w:val="28"/>
          <w:lang w:bidi="zh-CN"/>
        </w:rPr>
      </w:pPr>
    </w:p>
    <w:p w14:paraId="08B0A744">
      <w:pPr>
        <w:snapToGrid w:val="0"/>
        <w:spacing w:line="300" w:lineRule="auto"/>
        <w:ind w:firstLine="140"/>
        <w:outlineLvl w:val="0"/>
        <w:rPr>
          <w:rFonts w:ascii="宋体" w:cs="宋体"/>
          <w:sz w:val="28"/>
          <w:szCs w:val="28"/>
        </w:rPr>
      </w:pPr>
    </w:p>
    <w:p w14:paraId="2494B4B1">
      <w:pPr>
        <w:snapToGrid w:val="0"/>
        <w:spacing w:line="300" w:lineRule="auto"/>
        <w:ind w:firstLine="140"/>
        <w:outlineLvl w:val="0"/>
        <w:rPr>
          <w:rFonts w:ascii="宋体" w:cs="宋体"/>
          <w:sz w:val="28"/>
          <w:szCs w:val="28"/>
        </w:rPr>
      </w:pPr>
    </w:p>
    <w:p w14:paraId="4727A6C7">
      <w:pPr>
        <w:snapToGrid w:val="0"/>
        <w:spacing w:line="300" w:lineRule="auto"/>
        <w:ind w:firstLine="140"/>
        <w:outlineLvl w:val="0"/>
        <w:rPr>
          <w:rFonts w:ascii="宋体" w:cs="宋体"/>
          <w:sz w:val="32"/>
          <w:szCs w:val="32"/>
        </w:rPr>
      </w:pPr>
      <w:r>
        <w:rPr>
          <w:rFonts w:hint="eastAsia" w:ascii="宋体" w:cs="宋体"/>
          <w:sz w:val="28"/>
          <w:szCs w:val="28"/>
        </w:rPr>
        <w:br w:type="page"/>
      </w:r>
      <w:r>
        <w:rPr>
          <w:rFonts w:hint="eastAsia" w:ascii="宋体" w:cs="宋体"/>
          <w:sz w:val="32"/>
          <w:szCs w:val="32"/>
        </w:rPr>
        <w:t>附件11</w:t>
      </w:r>
    </w:p>
    <w:p w14:paraId="0E9D0640">
      <w:pPr>
        <w:spacing w:line="460" w:lineRule="exact"/>
        <w:ind w:firstLine="161"/>
        <w:jc w:val="center"/>
        <w:rPr>
          <w:rFonts w:ascii="宋体" w:cs="宋体"/>
          <w:b/>
          <w:sz w:val="32"/>
          <w:szCs w:val="32"/>
        </w:rPr>
      </w:pPr>
      <w:r>
        <w:rPr>
          <w:rFonts w:hint="eastAsia" w:ascii="宋体" w:cs="宋体"/>
          <w:b/>
          <w:sz w:val="32"/>
          <w:szCs w:val="32"/>
        </w:rPr>
        <w:t>残疾人福利性单位声明函</w:t>
      </w:r>
    </w:p>
    <w:p w14:paraId="744003C1">
      <w:pPr>
        <w:spacing w:line="588" w:lineRule="exact"/>
        <w:ind w:firstLine="560" w:firstLineChars="200"/>
        <w:rPr>
          <w:rFonts w:ascii="宋体" w:cs="宋体"/>
          <w:sz w:val="28"/>
          <w:szCs w:val="28"/>
        </w:rPr>
      </w:pPr>
      <w:r>
        <w:rPr>
          <w:rFonts w:hint="eastAsia" w:asci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554DBD0F">
      <w:pPr>
        <w:spacing w:line="588" w:lineRule="exact"/>
        <w:ind w:firstLine="560" w:firstLineChars="200"/>
        <w:rPr>
          <w:rFonts w:ascii="宋体" w:cs="宋体"/>
          <w:sz w:val="28"/>
          <w:szCs w:val="28"/>
        </w:rPr>
      </w:pPr>
      <w:r>
        <w:rPr>
          <w:rFonts w:hint="eastAsia" w:ascii="宋体" w:cs="宋体"/>
          <w:sz w:val="28"/>
          <w:szCs w:val="28"/>
        </w:rPr>
        <w:t>本单位对上述声明的真实性负责。如有虚假，将依法承担相应责任。</w:t>
      </w:r>
    </w:p>
    <w:p w14:paraId="583983F6">
      <w:pPr>
        <w:spacing w:line="588" w:lineRule="exact"/>
        <w:ind w:firstLine="560" w:firstLineChars="200"/>
        <w:rPr>
          <w:rFonts w:ascii="宋体" w:cs="宋体"/>
          <w:sz w:val="28"/>
          <w:szCs w:val="28"/>
        </w:rPr>
      </w:pPr>
      <w:r>
        <w:rPr>
          <w:rFonts w:hint="eastAsia" w:ascii="宋体" w:cs="宋体"/>
          <w:sz w:val="28"/>
          <w:szCs w:val="28"/>
        </w:rPr>
        <w:t>（备注：1、供应商如不提供此声明函，价格将不做相应扣除。2、中标供应商为残疾人福利单位的，此声明函将随中标结果同时公告，接受社会监督）</w:t>
      </w:r>
    </w:p>
    <w:p w14:paraId="55691E41">
      <w:pPr>
        <w:spacing w:line="588" w:lineRule="exact"/>
        <w:ind w:firstLine="584" w:firstLineChars="200"/>
        <w:rPr>
          <w:rFonts w:ascii="宋体" w:cs="宋体"/>
          <w:spacing w:val="6"/>
          <w:sz w:val="28"/>
          <w:szCs w:val="28"/>
        </w:rPr>
      </w:pPr>
    </w:p>
    <w:p w14:paraId="739EFC8A">
      <w:pPr>
        <w:spacing w:line="588" w:lineRule="exact"/>
        <w:ind w:firstLine="584" w:firstLineChars="200"/>
        <w:rPr>
          <w:rFonts w:ascii="宋体" w:cs="宋体"/>
          <w:spacing w:val="6"/>
          <w:sz w:val="28"/>
          <w:szCs w:val="28"/>
        </w:rPr>
      </w:pPr>
    </w:p>
    <w:p w14:paraId="528AE88D">
      <w:pPr>
        <w:spacing w:line="588" w:lineRule="exact"/>
        <w:ind w:firstLine="584" w:firstLineChars="200"/>
        <w:rPr>
          <w:rFonts w:ascii="宋体" w:cs="宋体"/>
          <w:spacing w:val="6"/>
          <w:sz w:val="28"/>
          <w:szCs w:val="28"/>
        </w:rPr>
      </w:pPr>
    </w:p>
    <w:p w14:paraId="13232004">
      <w:pPr>
        <w:spacing w:line="588" w:lineRule="exact"/>
        <w:ind w:firstLine="584" w:firstLineChars="200"/>
        <w:rPr>
          <w:rFonts w:ascii="宋体" w:cs="宋体"/>
          <w:spacing w:val="6"/>
          <w:sz w:val="28"/>
          <w:szCs w:val="28"/>
        </w:rPr>
      </w:pPr>
    </w:p>
    <w:p w14:paraId="1DFD4937">
      <w:pPr>
        <w:tabs>
          <w:tab w:val="left" w:pos="4860"/>
        </w:tabs>
        <w:spacing w:line="588" w:lineRule="exact"/>
        <w:ind w:right="1560" w:firstLine="560" w:firstLineChars="200"/>
        <w:jc w:val="center"/>
        <w:rPr>
          <w:rFonts w:ascii="宋体" w:cs="宋体"/>
          <w:sz w:val="28"/>
          <w:szCs w:val="28"/>
        </w:rPr>
      </w:pPr>
      <w:r>
        <w:rPr>
          <w:rFonts w:hint="eastAsia" w:ascii="宋体" w:cs="宋体"/>
          <w:sz w:val="28"/>
          <w:szCs w:val="28"/>
        </w:rPr>
        <w:t xml:space="preserve">           供应商全称（盖章）：</w:t>
      </w:r>
    </w:p>
    <w:p w14:paraId="752303F5">
      <w:pPr>
        <w:tabs>
          <w:tab w:val="left" w:pos="4860"/>
        </w:tabs>
        <w:spacing w:line="588" w:lineRule="exact"/>
        <w:ind w:right="1560" w:firstLine="560" w:firstLineChars="200"/>
        <w:jc w:val="center"/>
        <w:rPr>
          <w:rFonts w:ascii="宋体" w:cs="宋体"/>
          <w:sz w:val="28"/>
          <w:szCs w:val="28"/>
        </w:rPr>
      </w:pPr>
      <w:r>
        <w:rPr>
          <w:rFonts w:hint="eastAsia" w:ascii="宋体" w:cs="宋体"/>
          <w:sz w:val="28"/>
          <w:szCs w:val="28"/>
        </w:rPr>
        <w:t xml:space="preserve">              日  期：</w:t>
      </w:r>
    </w:p>
    <w:p w14:paraId="5F340D01">
      <w:pPr>
        <w:snapToGrid w:val="0"/>
        <w:spacing w:line="300" w:lineRule="auto"/>
        <w:ind w:firstLine="140"/>
        <w:outlineLvl w:val="0"/>
        <w:rPr>
          <w:rFonts w:ascii="宋体" w:cs="宋体"/>
          <w:sz w:val="32"/>
          <w:szCs w:val="32"/>
        </w:rPr>
      </w:pPr>
      <w:r>
        <w:rPr>
          <w:rFonts w:hint="eastAsia" w:ascii="宋体" w:cs="宋体"/>
          <w:sz w:val="28"/>
          <w:szCs w:val="28"/>
        </w:rPr>
        <w:br w:type="page"/>
      </w:r>
      <w:r>
        <w:rPr>
          <w:rFonts w:hint="eastAsia" w:ascii="宋体" w:cs="宋体"/>
          <w:sz w:val="32"/>
          <w:szCs w:val="32"/>
        </w:rPr>
        <w:t>附件12</w:t>
      </w:r>
    </w:p>
    <w:p w14:paraId="0BCC514D">
      <w:pPr>
        <w:snapToGrid w:val="0"/>
        <w:spacing w:line="420" w:lineRule="exact"/>
        <w:ind w:firstLine="161"/>
        <w:jc w:val="center"/>
        <w:outlineLvl w:val="3"/>
        <w:rPr>
          <w:rFonts w:ascii="宋体" w:cs="宋体"/>
          <w:b/>
          <w:bCs/>
          <w:sz w:val="32"/>
          <w:szCs w:val="32"/>
        </w:rPr>
      </w:pPr>
      <w:r>
        <w:rPr>
          <w:rFonts w:hint="eastAsia" w:ascii="宋体" w:cs="宋体"/>
          <w:b/>
          <w:bCs/>
          <w:sz w:val="32"/>
          <w:szCs w:val="32"/>
        </w:rPr>
        <w:t>监狱和戒毒企业证明材料</w:t>
      </w:r>
    </w:p>
    <w:p w14:paraId="3E6F9060">
      <w:pPr>
        <w:snapToGrid w:val="0"/>
        <w:spacing w:line="420" w:lineRule="exact"/>
        <w:ind w:firstLine="495" w:firstLineChars="177"/>
        <w:rPr>
          <w:rFonts w:ascii="宋体" w:cs="宋体"/>
          <w:sz w:val="28"/>
          <w:szCs w:val="28"/>
        </w:rPr>
      </w:pPr>
    </w:p>
    <w:p w14:paraId="16D53DCE">
      <w:pPr>
        <w:snapToGrid w:val="0"/>
        <w:spacing w:line="420" w:lineRule="exact"/>
        <w:ind w:firstLine="498" w:firstLineChars="177"/>
        <w:rPr>
          <w:rFonts w:ascii="宋体" w:cs="宋体"/>
          <w:b/>
          <w:sz w:val="28"/>
          <w:szCs w:val="28"/>
        </w:rPr>
      </w:pPr>
      <w:r>
        <w:rPr>
          <w:rFonts w:hint="eastAsia" w:ascii="宋体" w:cs="宋体"/>
          <w:b/>
          <w:sz w:val="28"/>
          <w:szCs w:val="28"/>
        </w:rPr>
        <w:t>（格式自拟）</w:t>
      </w:r>
    </w:p>
    <w:p w14:paraId="43F4F7B3">
      <w:pPr>
        <w:snapToGrid w:val="0"/>
        <w:spacing w:line="420" w:lineRule="exact"/>
        <w:ind w:firstLine="495" w:firstLineChars="177"/>
        <w:rPr>
          <w:rFonts w:ascii="宋体" w:cs="宋体"/>
          <w:sz w:val="28"/>
          <w:szCs w:val="28"/>
        </w:rPr>
      </w:pPr>
    </w:p>
    <w:p w14:paraId="74A0F6C4">
      <w:pPr>
        <w:snapToGrid w:val="0"/>
        <w:spacing w:line="420" w:lineRule="exact"/>
        <w:ind w:firstLine="660" w:firstLineChars="236"/>
      </w:pPr>
      <w:r>
        <w:rPr>
          <w:rFonts w:hint="eastAsia" w:asci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6DB69FA">
      <w:pPr>
        <w:pStyle w:val="11"/>
      </w:pPr>
    </w:p>
    <w:p w14:paraId="17A3C01C">
      <w:pPr>
        <w:pStyle w:val="11"/>
      </w:pPr>
    </w:p>
    <w:sectPr>
      <w:headerReference r:id="rId11" w:type="default"/>
      <w:footerReference r:id="rId12" w:type="default"/>
      <w:pgSz w:w="11906" w:h="16838"/>
      <w:pgMar w:top="1417" w:right="1279" w:bottom="1417" w:left="1587"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4C651">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2"/>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690583E0">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tbuXfQAAAAAgEAAA8AAAAAAAAAAQAgAAAAIgAAAGRycy9kb3ducmV2LnhtbFBLAQIUABQAAAAI&#10;AIdO4kDzOT8n9QEAAN8DAAAOAAAAAAAAAAEAIAAAAB8BAABkcnMvZTJvRG9jLnhtbFBLBQYAAAAA&#10;BgAGAFkBAACGBQAAAAA=&#10;">
              <v:fill on="f" focussize="0,0"/>
              <v:stroke on="f"/>
              <v:imagedata o:title=""/>
              <o:lock v:ext="edit" aspectratio="f"/>
              <v:textbox inset="0mm,0mm,0mm,0mm" style="mso-fit-shape-to-text:t;">
                <w:txbxContent>
                  <w:p w14:paraId="690583E0">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65E17DA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BA2A">
    <w:pPr>
      <w:pStyle w:val="17"/>
      <w:rPr>
        <w:rStyle w:val="26"/>
      </w:rPr>
    </w:pPr>
    <w:r>
      <w:rPr>
        <w:rStyle w:val="26"/>
      </w:rPr>
      <w:fldChar w:fldCharType="begin"/>
    </w:r>
    <w:r>
      <w:rPr>
        <w:rStyle w:val="26"/>
      </w:rPr>
      <w:instrText xml:space="preserve">PAGE  </w:instrText>
    </w:r>
    <w:r>
      <w:rPr>
        <w:rStyle w:val="26"/>
      </w:rPr>
      <w:fldChar w:fldCharType="end"/>
    </w:r>
  </w:p>
  <w:p w14:paraId="20430BE3">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C55A">
    <w:pPr>
      <w:pStyle w:val="1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67824CC6">
                          <w:pPr>
                            <w:pStyle w:val="17"/>
                          </w:pPr>
                          <w:r>
                            <w:fldChar w:fldCharType="begin"/>
                          </w:r>
                          <w:r>
                            <w:instrText xml:space="preserve"> PAGE  \* MERGEFORMAT </w:instrText>
                          </w:r>
                          <w:r>
                            <w:fldChar w:fldCharType="separate"/>
                          </w:r>
                          <w:r>
                            <w:t>0</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W7l30AAAAAIBAAAPAAAAAAAAAAEAIAAAACIAAABkcnMvZG93bnJldi54bWxQSwECFAAUAAAACACH&#10;TuJAuSp35vMBAADfAwAADgAAAAAAAAABACAAAAAfAQAAZHJzL2Uyb0RvYy54bWxQSwUGAAAAAAYA&#10;BgBZAQAAhAUAAAAA&#10;">
              <v:fill on="f" focussize="0,0"/>
              <v:stroke on="f"/>
              <v:imagedata o:title=""/>
              <o:lock v:ext="edit" aspectratio="f"/>
              <v:textbox inset="0mm,0mm,0mm,0mm" style="mso-fit-shape-to-text:t;">
                <w:txbxContent>
                  <w:p w14:paraId="67824CC6">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493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17"/>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3C692701">
                          <w:pPr>
                            <w:pStyle w:val="17"/>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W7l30AAAAAIBAAAPAAAAAAAAAAEAIAAAACIAAABkcnMvZG93bnJldi54bWxQSwECFAAUAAAA&#10;CACHTuJAu8a8G/YBAADgAwAADgAAAAAAAAABACAAAAAfAQAAZHJzL2Uyb0RvYy54bWxQSwUGAAAA&#10;AAYABgBZAQAAhwUAAAAA&#10;">
              <v:fill on="f" focussize="0,0"/>
              <v:stroke on="f"/>
              <v:imagedata o:title=""/>
              <o:lock v:ext="edit" aspectratio="f"/>
              <v:textbox inset="0mm,0mm,0mm,0mm" style="mso-fit-shape-to-text:t;">
                <w:txbxContent>
                  <w:p w14:paraId="3C692701">
                    <w:pPr>
                      <w:pStyle w:val="17"/>
                    </w:pPr>
                    <w:r>
                      <w:fldChar w:fldCharType="begin"/>
                    </w:r>
                    <w:r>
                      <w:instrText xml:space="preserve"> PAGE  \* MERGEFORMAT </w:instrText>
                    </w:r>
                    <w:r>
                      <w:fldChar w:fldCharType="separate"/>
                    </w:r>
                    <w:r>
                      <w:t>17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-311150</wp:posOffset>
              </wp:positionV>
              <wp:extent cx="114935" cy="44196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14935" cy="441960"/>
                      </a:xfrm>
                      <a:prstGeom prst="rect">
                        <a:avLst/>
                      </a:prstGeom>
                      <a:noFill/>
                      <a:ln>
                        <a:noFill/>
                      </a:ln>
                      <a:effectLst/>
                    </wps:spPr>
                    <wps:txbx>
                      <w:txbxContent>
                        <w:p w14:paraId="5DCF6D00">
                          <w:pPr>
                            <w:pStyle w:val="17"/>
                          </w:pPr>
                        </w:p>
                        <w:p w14:paraId="1CE8C057">
                          <w:pPr>
                            <w:pStyle w:val="17"/>
                          </w:pPr>
                        </w:p>
                        <w:p w14:paraId="69B30D8A"/>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24.5pt;height:34.8pt;width:9.05pt;mso-position-horizontal:center;mso-position-horizontal-relative:margin;mso-wrap-style:none;z-index:251659264;mso-width-relative:page;mso-height-relative:page;" filled="f" stroked="f" coordsize="21600,21600" o:gfxdata="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VG1GDTAAAABgEAAA8AAAAA&#10;AAAAAQAgAAAAIgAAAGRycy9kb3ducmV2LnhtbFBLAQIUABQAAAAIAIdO4kAatdL84AEAAL4DAAAO&#10;AAAAAAAAAAEAIAAAACIBAABkcnMvZTJvRG9jLnhtbFBLBQYAAAAABgAGAFkBAAB0BQAAAAA=&#10;">
              <v:fill on="f" focussize="0,0"/>
              <v:stroke on="f"/>
              <v:imagedata o:title=""/>
              <o:lock v:ext="edit" aspectratio="f"/>
              <v:textbox inset="0mm,0mm,0mm,0mm" style="mso-fit-shape-to-text:t;">
                <w:txbxContent>
                  <w:p w14:paraId="5DCF6D00">
                    <w:pPr>
                      <w:pStyle w:val="17"/>
                    </w:pPr>
                  </w:p>
                  <w:p w14:paraId="1CE8C057">
                    <w:pPr>
                      <w:pStyle w:val="17"/>
                    </w:pPr>
                  </w:p>
                  <w:p w14:paraId="69B30D8A"/>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CEA9">
    <w:pPr>
      <w:pStyle w:val="17"/>
      <w:ind w:firstLine="90" w:firstLineChars="50"/>
      <w:jc w:val="center"/>
    </w:pPr>
    <w:r>
      <w:rPr>
        <w:szCs w:val="21"/>
      </w:rPr>
      <w:fldChar w:fldCharType="begin"/>
    </w:r>
    <w:r>
      <w:rPr>
        <w:szCs w:val="21"/>
      </w:rPr>
      <w:instrText xml:space="preserve"> PAGE </w:instrText>
    </w:r>
    <w:r>
      <w:rPr>
        <w:szCs w:val="21"/>
      </w:rPr>
      <w:fldChar w:fldCharType="separate"/>
    </w:r>
    <w:r>
      <w:rPr>
        <w:szCs w:val="21"/>
      </w:rPr>
      <w:t>162</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48C8">
    <w:pPr>
      <w:pStyle w:val="17"/>
      <w:ind w:firstLine="9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7"/>
              <wp:cNvGraphicFramePr/>
              <a:graphic xmlns:a="http://schemas.openxmlformats.org/drawingml/2006/main">
                <a:graphicData uri="http://schemas.microsoft.com/office/word/2010/wordprocessingShape">
                  <wps:wsp>
                    <wps:cNvSpPr txBox="1"/>
                    <wps:spPr bwMode="auto">
                      <a:xfrm>
                        <a:off x="0" y="0"/>
                        <a:ext cx="58420" cy="139700"/>
                      </a:xfrm>
                      <a:prstGeom prst="rect">
                        <a:avLst/>
                      </a:prstGeom>
                      <a:noFill/>
                      <a:ln>
                        <a:noFill/>
                      </a:ln>
                      <a:effectLst/>
                    </wps:spPr>
                    <wps:txbx>
                      <w:txbxContent>
                        <w:p w14:paraId="63598438">
                          <w:pPr>
                            <w:pStyle w:val="17"/>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W7l30AAAAAIBAAAPAAAAAAAAAAEAIAAAACIAAABkcnMvZG93bnJldi54bWxQSwECFAAUAAAA&#10;CACHTuJALHRtAvYBAADgAwAADgAAAAAAAAABACAAAAAfAQAAZHJzL2Uyb0RvYy54bWxQSwUGAAAA&#10;AAYABgBZAQAAhwUAAAAA&#10;">
              <v:fill on="f" focussize="0,0"/>
              <v:stroke on="f"/>
              <v:imagedata o:title=""/>
              <o:lock v:ext="edit" aspectratio="f"/>
              <v:textbox inset="0mm,0mm,0mm,0mm" style="mso-fit-shape-to-text:t;">
                <w:txbxContent>
                  <w:p w14:paraId="63598438">
                    <w:pPr>
                      <w:pStyle w:val="17"/>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-311150</wp:posOffset>
              </wp:positionV>
              <wp:extent cx="114935" cy="4419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441960"/>
                      </a:xfrm>
                      <a:prstGeom prst="rect">
                        <a:avLst/>
                      </a:prstGeom>
                      <a:noFill/>
                      <a:ln>
                        <a:noFill/>
                      </a:ln>
                      <a:effectLst/>
                    </wps:spPr>
                    <wps:txbx>
                      <w:txbxContent>
                        <w:p w14:paraId="6BE0244D">
                          <w:pPr>
                            <w:pStyle w:val="17"/>
                          </w:pPr>
                        </w:p>
                        <w:p w14:paraId="6AE84B5B">
                          <w:pPr>
                            <w:pStyle w:val="17"/>
                          </w:pPr>
                        </w:p>
                        <w:p w14:paraId="6A9BE0DD"/>
                      </w:txbxContent>
                    </wps:txbx>
                    <wps:bodyPr wrap="none" lIns="0" tIns="0" rIns="0" bIns="0">
                      <a:spAutoFit/>
                    </wps:bodyPr>
                  </wps:wsp>
                </a:graphicData>
              </a:graphic>
            </wp:anchor>
          </w:drawing>
        </mc:Choice>
        <mc:Fallback>
          <w:pict>
            <v:shape id="_x0000_s1026" o:spid="_x0000_s1026" o:spt="202" type="#_x0000_t202" style="position:absolute;left:0pt;margin-top:-24.5pt;height:34.8pt;width:9.05pt;mso-position-horizontal:center;mso-position-horizontal-relative:margin;mso-wrap-style:none;z-index:251660288;mso-width-relative:page;mso-height-relative:page;" filled="f" stroked="f" coordsize="21600,21600" o:gfxdata="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UbUYNMAAAAGAQAADwAAAAAAAAABACAAAAAiAAAAZHJzL2Rv&#10;d25yZXYueG1sUEsBAhQAFAAAAAgAh07iQItY/xDNAQAAmQMAAA4AAAAAAAAAAQAgAAAAIgEAAGRy&#10;cy9lMm9Eb2MueG1sUEsFBgAAAAAGAAYAWQEAAGEFAAAAAA==&#10;">
              <v:fill on="f" focussize="0,0"/>
              <v:stroke on="f"/>
              <v:imagedata o:title=""/>
              <o:lock v:ext="edit" aspectratio="f"/>
              <v:textbox inset="0mm,0mm,0mm,0mm" style="mso-fit-shape-to-text:t;">
                <w:txbxContent>
                  <w:p w14:paraId="6BE0244D">
                    <w:pPr>
                      <w:pStyle w:val="17"/>
                    </w:pPr>
                  </w:p>
                  <w:p w14:paraId="6AE84B5B">
                    <w:pPr>
                      <w:pStyle w:val="17"/>
                    </w:pPr>
                  </w:p>
                  <w:p w14:paraId="6A9BE0D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BC6E1">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66DCA">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857A">
    <w:pPr>
      <w:spacing w:line="320" w:lineRule="atLeast"/>
      <w:jc w:val="center"/>
    </w:pPr>
  </w:p>
  <w:p w14:paraId="3ED4EFD5">
    <w:pPr>
      <w:spacing w:line="320" w:lineRule="atLeast"/>
      <w:ind w:right="-94" w:rightChars="-39"/>
      <w:jc w:val="center"/>
      <w:rPr>
        <w:sz w:val="15"/>
        <w:szCs w:val="15"/>
      </w:rPr>
    </w:pPr>
  </w:p>
  <w:p w14:paraId="3D87A2BA">
    <w:pPr>
      <w:spacing w:line="320" w:lineRule="atLeast"/>
      <w:ind w:right="-94" w:rightChars="-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4E67">
    <w:pPr>
      <w:pStyle w:val="19"/>
      <w:pBdr>
        <w:bottom w:val="none" w:color="auto" w:sz="0" w:space="1"/>
      </w:pBdr>
      <w:tabs>
        <w:tab w:val="left" w:pos="3811"/>
      </w:tabs>
      <w:ind w:firstLine="90"/>
      <w:jc w:val="left"/>
    </w:pPr>
    <w:r>
      <w:rPr>
        <w:rFonts w:hint="eastAsia"/>
      </w:rPr>
      <w:tab/>
    </w: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wYjM4YjkzNGVhZGFkOTlmMWIwODNjMDJiODBiODgifQ=="/>
  </w:docVars>
  <w:rsids>
    <w:rsidRoot w:val="00B87A4A"/>
    <w:rsid w:val="00001B25"/>
    <w:rsid w:val="00002D71"/>
    <w:rsid w:val="0000773B"/>
    <w:rsid w:val="00007A30"/>
    <w:rsid w:val="0001236A"/>
    <w:rsid w:val="000123C3"/>
    <w:rsid w:val="00013878"/>
    <w:rsid w:val="000141E9"/>
    <w:rsid w:val="00015981"/>
    <w:rsid w:val="00016BEA"/>
    <w:rsid w:val="00017001"/>
    <w:rsid w:val="0002188B"/>
    <w:rsid w:val="00021CF5"/>
    <w:rsid w:val="00023FF0"/>
    <w:rsid w:val="00026237"/>
    <w:rsid w:val="0002649A"/>
    <w:rsid w:val="00026AFA"/>
    <w:rsid w:val="00030C4F"/>
    <w:rsid w:val="00031677"/>
    <w:rsid w:val="00033FDE"/>
    <w:rsid w:val="00034C0D"/>
    <w:rsid w:val="00034CD3"/>
    <w:rsid w:val="000350BE"/>
    <w:rsid w:val="00035A46"/>
    <w:rsid w:val="00040CAE"/>
    <w:rsid w:val="0004465E"/>
    <w:rsid w:val="000450C7"/>
    <w:rsid w:val="00045456"/>
    <w:rsid w:val="00045E9C"/>
    <w:rsid w:val="00050E09"/>
    <w:rsid w:val="00052534"/>
    <w:rsid w:val="00052B72"/>
    <w:rsid w:val="0005506A"/>
    <w:rsid w:val="000551F2"/>
    <w:rsid w:val="0005648E"/>
    <w:rsid w:val="00056A2C"/>
    <w:rsid w:val="00056C62"/>
    <w:rsid w:val="00057000"/>
    <w:rsid w:val="00057107"/>
    <w:rsid w:val="000611BE"/>
    <w:rsid w:val="000641D8"/>
    <w:rsid w:val="000664D9"/>
    <w:rsid w:val="00071DBA"/>
    <w:rsid w:val="00076AAE"/>
    <w:rsid w:val="00077C68"/>
    <w:rsid w:val="00080C86"/>
    <w:rsid w:val="0008190B"/>
    <w:rsid w:val="000828CE"/>
    <w:rsid w:val="00083C6E"/>
    <w:rsid w:val="00084ABA"/>
    <w:rsid w:val="000862CF"/>
    <w:rsid w:val="00087E96"/>
    <w:rsid w:val="00090219"/>
    <w:rsid w:val="00092114"/>
    <w:rsid w:val="000937DC"/>
    <w:rsid w:val="00096079"/>
    <w:rsid w:val="00096D66"/>
    <w:rsid w:val="00097490"/>
    <w:rsid w:val="000A27E0"/>
    <w:rsid w:val="000A36C6"/>
    <w:rsid w:val="000A398B"/>
    <w:rsid w:val="000A4739"/>
    <w:rsid w:val="000A65C6"/>
    <w:rsid w:val="000A7668"/>
    <w:rsid w:val="000A78BF"/>
    <w:rsid w:val="000A7C23"/>
    <w:rsid w:val="000B1962"/>
    <w:rsid w:val="000B3181"/>
    <w:rsid w:val="000C1BED"/>
    <w:rsid w:val="000C6B38"/>
    <w:rsid w:val="000C7145"/>
    <w:rsid w:val="000D0AE5"/>
    <w:rsid w:val="000D2DE7"/>
    <w:rsid w:val="000D3DCF"/>
    <w:rsid w:val="000D4EC6"/>
    <w:rsid w:val="000D7292"/>
    <w:rsid w:val="000E42FB"/>
    <w:rsid w:val="000E7073"/>
    <w:rsid w:val="000E7F89"/>
    <w:rsid w:val="000F041B"/>
    <w:rsid w:val="000F094E"/>
    <w:rsid w:val="000F0CD4"/>
    <w:rsid w:val="000F1A93"/>
    <w:rsid w:val="000F27F7"/>
    <w:rsid w:val="000F3B71"/>
    <w:rsid w:val="000F75C3"/>
    <w:rsid w:val="001056FC"/>
    <w:rsid w:val="001069F9"/>
    <w:rsid w:val="00110A62"/>
    <w:rsid w:val="00111C60"/>
    <w:rsid w:val="001206AA"/>
    <w:rsid w:val="00121324"/>
    <w:rsid w:val="00123091"/>
    <w:rsid w:val="0013005C"/>
    <w:rsid w:val="00130C21"/>
    <w:rsid w:val="00131DAB"/>
    <w:rsid w:val="00131EC8"/>
    <w:rsid w:val="00132168"/>
    <w:rsid w:val="0013654E"/>
    <w:rsid w:val="00142DBD"/>
    <w:rsid w:val="0014474D"/>
    <w:rsid w:val="00146BAF"/>
    <w:rsid w:val="001504D4"/>
    <w:rsid w:val="00154367"/>
    <w:rsid w:val="0016111C"/>
    <w:rsid w:val="001657CB"/>
    <w:rsid w:val="001711EB"/>
    <w:rsid w:val="00175531"/>
    <w:rsid w:val="00183508"/>
    <w:rsid w:val="00183C7C"/>
    <w:rsid w:val="00187F93"/>
    <w:rsid w:val="00190A76"/>
    <w:rsid w:val="00190CC6"/>
    <w:rsid w:val="001977E2"/>
    <w:rsid w:val="001A0702"/>
    <w:rsid w:val="001A2B5E"/>
    <w:rsid w:val="001B345F"/>
    <w:rsid w:val="001B3F64"/>
    <w:rsid w:val="001B4532"/>
    <w:rsid w:val="001B600D"/>
    <w:rsid w:val="001B604E"/>
    <w:rsid w:val="001B6E3C"/>
    <w:rsid w:val="001C1ABB"/>
    <w:rsid w:val="001C6169"/>
    <w:rsid w:val="001C629C"/>
    <w:rsid w:val="001C6BB6"/>
    <w:rsid w:val="001C6C03"/>
    <w:rsid w:val="001D62F6"/>
    <w:rsid w:val="001D7523"/>
    <w:rsid w:val="001D760B"/>
    <w:rsid w:val="001E1A86"/>
    <w:rsid w:val="001E3508"/>
    <w:rsid w:val="001E3AFB"/>
    <w:rsid w:val="001E5772"/>
    <w:rsid w:val="001E5D64"/>
    <w:rsid w:val="001F0AFB"/>
    <w:rsid w:val="001F2781"/>
    <w:rsid w:val="001F33E8"/>
    <w:rsid w:val="001F5267"/>
    <w:rsid w:val="001F623E"/>
    <w:rsid w:val="00210C14"/>
    <w:rsid w:val="00221A05"/>
    <w:rsid w:val="00224A56"/>
    <w:rsid w:val="00227D26"/>
    <w:rsid w:val="00231A7D"/>
    <w:rsid w:val="00232319"/>
    <w:rsid w:val="00233994"/>
    <w:rsid w:val="00234F4E"/>
    <w:rsid w:val="0024062D"/>
    <w:rsid w:val="00241447"/>
    <w:rsid w:val="0024279E"/>
    <w:rsid w:val="002448A8"/>
    <w:rsid w:val="00245B23"/>
    <w:rsid w:val="00247E7D"/>
    <w:rsid w:val="00250103"/>
    <w:rsid w:val="00250F4C"/>
    <w:rsid w:val="0025264B"/>
    <w:rsid w:val="00252B5D"/>
    <w:rsid w:val="002552F3"/>
    <w:rsid w:val="00255682"/>
    <w:rsid w:val="00260635"/>
    <w:rsid w:val="002665DB"/>
    <w:rsid w:val="002747CD"/>
    <w:rsid w:val="0027535B"/>
    <w:rsid w:val="00277E5C"/>
    <w:rsid w:val="00280777"/>
    <w:rsid w:val="002810A5"/>
    <w:rsid w:val="00281D11"/>
    <w:rsid w:val="00283A49"/>
    <w:rsid w:val="002849A5"/>
    <w:rsid w:val="0029043E"/>
    <w:rsid w:val="002909DD"/>
    <w:rsid w:val="00293411"/>
    <w:rsid w:val="00293420"/>
    <w:rsid w:val="002944C4"/>
    <w:rsid w:val="00297384"/>
    <w:rsid w:val="002A01A5"/>
    <w:rsid w:val="002A0985"/>
    <w:rsid w:val="002A0BBF"/>
    <w:rsid w:val="002A0EAE"/>
    <w:rsid w:val="002A1BB2"/>
    <w:rsid w:val="002A1C34"/>
    <w:rsid w:val="002A4D56"/>
    <w:rsid w:val="002B2BCD"/>
    <w:rsid w:val="002B3633"/>
    <w:rsid w:val="002B59B1"/>
    <w:rsid w:val="002B6CD7"/>
    <w:rsid w:val="002C02C1"/>
    <w:rsid w:val="002C0D02"/>
    <w:rsid w:val="002C0FA7"/>
    <w:rsid w:val="002C1A82"/>
    <w:rsid w:val="002C3DAC"/>
    <w:rsid w:val="002C4EA0"/>
    <w:rsid w:val="002C509A"/>
    <w:rsid w:val="002C5AA9"/>
    <w:rsid w:val="002C6197"/>
    <w:rsid w:val="002D0125"/>
    <w:rsid w:val="002D0AC9"/>
    <w:rsid w:val="002D19CD"/>
    <w:rsid w:val="002D6898"/>
    <w:rsid w:val="002E39BF"/>
    <w:rsid w:val="002E5A3F"/>
    <w:rsid w:val="002E6BD0"/>
    <w:rsid w:val="002F0B68"/>
    <w:rsid w:val="002F13F3"/>
    <w:rsid w:val="00301F41"/>
    <w:rsid w:val="0030286A"/>
    <w:rsid w:val="00302F5B"/>
    <w:rsid w:val="00303AE2"/>
    <w:rsid w:val="00306A9A"/>
    <w:rsid w:val="00306D31"/>
    <w:rsid w:val="00306FD4"/>
    <w:rsid w:val="00310768"/>
    <w:rsid w:val="00315338"/>
    <w:rsid w:val="00315A82"/>
    <w:rsid w:val="0031717A"/>
    <w:rsid w:val="003176A4"/>
    <w:rsid w:val="00321A8E"/>
    <w:rsid w:val="003258BD"/>
    <w:rsid w:val="00326C18"/>
    <w:rsid w:val="00340BC4"/>
    <w:rsid w:val="003412D9"/>
    <w:rsid w:val="00341873"/>
    <w:rsid w:val="003445A7"/>
    <w:rsid w:val="0034767A"/>
    <w:rsid w:val="00350180"/>
    <w:rsid w:val="00355B9B"/>
    <w:rsid w:val="00355ED9"/>
    <w:rsid w:val="0035666B"/>
    <w:rsid w:val="00357EEE"/>
    <w:rsid w:val="00361B53"/>
    <w:rsid w:val="00361E7B"/>
    <w:rsid w:val="00362421"/>
    <w:rsid w:val="003701AE"/>
    <w:rsid w:val="0037144F"/>
    <w:rsid w:val="00375E4E"/>
    <w:rsid w:val="0037631D"/>
    <w:rsid w:val="00377CCE"/>
    <w:rsid w:val="00382098"/>
    <w:rsid w:val="0038268C"/>
    <w:rsid w:val="0038317B"/>
    <w:rsid w:val="003926C8"/>
    <w:rsid w:val="003963ED"/>
    <w:rsid w:val="003970BF"/>
    <w:rsid w:val="003A2FBC"/>
    <w:rsid w:val="003A5B98"/>
    <w:rsid w:val="003B4F58"/>
    <w:rsid w:val="003B73AC"/>
    <w:rsid w:val="003C61A2"/>
    <w:rsid w:val="003C62A1"/>
    <w:rsid w:val="003C699B"/>
    <w:rsid w:val="003D225F"/>
    <w:rsid w:val="003D4474"/>
    <w:rsid w:val="003D7D34"/>
    <w:rsid w:val="003D7FA2"/>
    <w:rsid w:val="003E0D30"/>
    <w:rsid w:val="003E7F21"/>
    <w:rsid w:val="003F0361"/>
    <w:rsid w:val="003F0715"/>
    <w:rsid w:val="003F2EBE"/>
    <w:rsid w:val="003F4518"/>
    <w:rsid w:val="003F4FD2"/>
    <w:rsid w:val="003F56DD"/>
    <w:rsid w:val="003F7018"/>
    <w:rsid w:val="004019E2"/>
    <w:rsid w:val="00401FA7"/>
    <w:rsid w:val="00402831"/>
    <w:rsid w:val="004075AA"/>
    <w:rsid w:val="00410B9C"/>
    <w:rsid w:val="00412386"/>
    <w:rsid w:val="0041295E"/>
    <w:rsid w:val="00414C33"/>
    <w:rsid w:val="00414D87"/>
    <w:rsid w:val="004207D0"/>
    <w:rsid w:val="00422523"/>
    <w:rsid w:val="00422B2F"/>
    <w:rsid w:val="0042326D"/>
    <w:rsid w:val="004265A1"/>
    <w:rsid w:val="00426658"/>
    <w:rsid w:val="00426915"/>
    <w:rsid w:val="0042752E"/>
    <w:rsid w:val="00430710"/>
    <w:rsid w:val="0043106F"/>
    <w:rsid w:val="00431C61"/>
    <w:rsid w:val="00431DC0"/>
    <w:rsid w:val="004343B6"/>
    <w:rsid w:val="00437D4C"/>
    <w:rsid w:val="00440C3B"/>
    <w:rsid w:val="0044220E"/>
    <w:rsid w:val="004422C2"/>
    <w:rsid w:val="00444F25"/>
    <w:rsid w:val="004514CF"/>
    <w:rsid w:val="004519DA"/>
    <w:rsid w:val="00460DC5"/>
    <w:rsid w:val="00460F75"/>
    <w:rsid w:val="00462F49"/>
    <w:rsid w:val="004641A7"/>
    <w:rsid w:val="00471844"/>
    <w:rsid w:val="004722F1"/>
    <w:rsid w:val="0047280A"/>
    <w:rsid w:val="00473D96"/>
    <w:rsid w:val="00474CA3"/>
    <w:rsid w:val="00477F5C"/>
    <w:rsid w:val="00480499"/>
    <w:rsid w:val="00480601"/>
    <w:rsid w:val="0048099F"/>
    <w:rsid w:val="0048101A"/>
    <w:rsid w:val="004841DD"/>
    <w:rsid w:val="004849B7"/>
    <w:rsid w:val="00484ABA"/>
    <w:rsid w:val="0048702A"/>
    <w:rsid w:val="00487AA2"/>
    <w:rsid w:val="00487D86"/>
    <w:rsid w:val="00491003"/>
    <w:rsid w:val="0049141B"/>
    <w:rsid w:val="004930F4"/>
    <w:rsid w:val="0049448D"/>
    <w:rsid w:val="00497C24"/>
    <w:rsid w:val="004A0F79"/>
    <w:rsid w:val="004A2BAA"/>
    <w:rsid w:val="004A5524"/>
    <w:rsid w:val="004A6BB3"/>
    <w:rsid w:val="004A7487"/>
    <w:rsid w:val="004B027C"/>
    <w:rsid w:val="004B038B"/>
    <w:rsid w:val="004B0D46"/>
    <w:rsid w:val="004B1B68"/>
    <w:rsid w:val="004B20A5"/>
    <w:rsid w:val="004B3579"/>
    <w:rsid w:val="004B5379"/>
    <w:rsid w:val="004B628A"/>
    <w:rsid w:val="004B744C"/>
    <w:rsid w:val="004B7A55"/>
    <w:rsid w:val="004C16AD"/>
    <w:rsid w:val="004C5CFC"/>
    <w:rsid w:val="004C7251"/>
    <w:rsid w:val="004C7E4F"/>
    <w:rsid w:val="004D086A"/>
    <w:rsid w:val="004D14CF"/>
    <w:rsid w:val="004D1FC2"/>
    <w:rsid w:val="004D4D17"/>
    <w:rsid w:val="004D4EFE"/>
    <w:rsid w:val="004D7037"/>
    <w:rsid w:val="004D7725"/>
    <w:rsid w:val="004E1CDB"/>
    <w:rsid w:val="004E3EFB"/>
    <w:rsid w:val="004E5671"/>
    <w:rsid w:val="004E5D0A"/>
    <w:rsid w:val="004F03BF"/>
    <w:rsid w:val="004F1DBB"/>
    <w:rsid w:val="004F1EFD"/>
    <w:rsid w:val="004F2051"/>
    <w:rsid w:val="004F22C4"/>
    <w:rsid w:val="004F318B"/>
    <w:rsid w:val="004F4833"/>
    <w:rsid w:val="004F6A6C"/>
    <w:rsid w:val="00504E9C"/>
    <w:rsid w:val="00505856"/>
    <w:rsid w:val="00505E96"/>
    <w:rsid w:val="00506E65"/>
    <w:rsid w:val="005079E6"/>
    <w:rsid w:val="0051289F"/>
    <w:rsid w:val="00512D85"/>
    <w:rsid w:val="00512E33"/>
    <w:rsid w:val="005146B4"/>
    <w:rsid w:val="005212A4"/>
    <w:rsid w:val="005215FD"/>
    <w:rsid w:val="005239A4"/>
    <w:rsid w:val="00530BE0"/>
    <w:rsid w:val="0053212E"/>
    <w:rsid w:val="0053729B"/>
    <w:rsid w:val="00537D4D"/>
    <w:rsid w:val="00541BDF"/>
    <w:rsid w:val="00542B4E"/>
    <w:rsid w:val="005446E8"/>
    <w:rsid w:val="00544AEC"/>
    <w:rsid w:val="00544F4A"/>
    <w:rsid w:val="005462CC"/>
    <w:rsid w:val="00546FDF"/>
    <w:rsid w:val="005477F3"/>
    <w:rsid w:val="00570017"/>
    <w:rsid w:val="00570FE9"/>
    <w:rsid w:val="00572682"/>
    <w:rsid w:val="00572C28"/>
    <w:rsid w:val="005777A5"/>
    <w:rsid w:val="00582082"/>
    <w:rsid w:val="005834FE"/>
    <w:rsid w:val="0058350C"/>
    <w:rsid w:val="00583844"/>
    <w:rsid w:val="00584DBC"/>
    <w:rsid w:val="00585EAA"/>
    <w:rsid w:val="00587294"/>
    <w:rsid w:val="0058760A"/>
    <w:rsid w:val="0059095B"/>
    <w:rsid w:val="00593AA4"/>
    <w:rsid w:val="005945C6"/>
    <w:rsid w:val="00594A11"/>
    <w:rsid w:val="00595FC0"/>
    <w:rsid w:val="0059673D"/>
    <w:rsid w:val="005A0AC5"/>
    <w:rsid w:val="005A28C2"/>
    <w:rsid w:val="005A438E"/>
    <w:rsid w:val="005A6C5B"/>
    <w:rsid w:val="005B0D78"/>
    <w:rsid w:val="005B125F"/>
    <w:rsid w:val="005B12F7"/>
    <w:rsid w:val="005B1CBE"/>
    <w:rsid w:val="005B1D2F"/>
    <w:rsid w:val="005B2723"/>
    <w:rsid w:val="005B3473"/>
    <w:rsid w:val="005B45D2"/>
    <w:rsid w:val="005B6F99"/>
    <w:rsid w:val="005C157F"/>
    <w:rsid w:val="005C6EC3"/>
    <w:rsid w:val="005D4FC9"/>
    <w:rsid w:val="005D6183"/>
    <w:rsid w:val="005D7362"/>
    <w:rsid w:val="005E4D8A"/>
    <w:rsid w:val="005F1D1E"/>
    <w:rsid w:val="005F21B3"/>
    <w:rsid w:val="005F2C2E"/>
    <w:rsid w:val="005F396B"/>
    <w:rsid w:val="005F4B32"/>
    <w:rsid w:val="005F620F"/>
    <w:rsid w:val="005F70F9"/>
    <w:rsid w:val="00605287"/>
    <w:rsid w:val="006067F5"/>
    <w:rsid w:val="00617700"/>
    <w:rsid w:val="00617F97"/>
    <w:rsid w:val="00621503"/>
    <w:rsid w:val="00621B83"/>
    <w:rsid w:val="00624B86"/>
    <w:rsid w:val="006316FE"/>
    <w:rsid w:val="006341B4"/>
    <w:rsid w:val="0063662B"/>
    <w:rsid w:val="00636DE9"/>
    <w:rsid w:val="00637CEB"/>
    <w:rsid w:val="00640DA8"/>
    <w:rsid w:val="0064144D"/>
    <w:rsid w:val="006431B4"/>
    <w:rsid w:val="00645FE5"/>
    <w:rsid w:val="006512AC"/>
    <w:rsid w:val="00652E8B"/>
    <w:rsid w:val="006538F8"/>
    <w:rsid w:val="006551C8"/>
    <w:rsid w:val="00655602"/>
    <w:rsid w:val="00657DD3"/>
    <w:rsid w:val="00660277"/>
    <w:rsid w:val="00660AAE"/>
    <w:rsid w:val="00664F3B"/>
    <w:rsid w:val="006661CB"/>
    <w:rsid w:val="00666A72"/>
    <w:rsid w:val="00670C72"/>
    <w:rsid w:val="00673A97"/>
    <w:rsid w:val="00674168"/>
    <w:rsid w:val="00675A4F"/>
    <w:rsid w:val="00680BD9"/>
    <w:rsid w:val="00681AFF"/>
    <w:rsid w:val="006820A8"/>
    <w:rsid w:val="0068649D"/>
    <w:rsid w:val="00686C83"/>
    <w:rsid w:val="00686EAA"/>
    <w:rsid w:val="00687FD0"/>
    <w:rsid w:val="00690ABD"/>
    <w:rsid w:val="00691099"/>
    <w:rsid w:val="00691A18"/>
    <w:rsid w:val="00694C21"/>
    <w:rsid w:val="00697BA4"/>
    <w:rsid w:val="006A2380"/>
    <w:rsid w:val="006A4A00"/>
    <w:rsid w:val="006A4DC2"/>
    <w:rsid w:val="006A4FA6"/>
    <w:rsid w:val="006A5379"/>
    <w:rsid w:val="006A548A"/>
    <w:rsid w:val="006B03DE"/>
    <w:rsid w:val="006B121C"/>
    <w:rsid w:val="006B4FE4"/>
    <w:rsid w:val="006B61D6"/>
    <w:rsid w:val="006B7244"/>
    <w:rsid w:val="006C097E"/>
    <w:rsid w:val="006C2D01"/>
    <w:rsid w:val="006C3A48"/>
    <w:rsid w:val="006C41A3"/>
    <w:rsid w:val="006C57E2"/>
    <w:rsid w:val="006C5A42"/>
    <w:rsid w:val="006C6C5A"/>
    <w:rsid w:val="006C7246"/>
    <w:rsid w:val="006D003A"/>
    <w:rsid w:val="006D1ABB"/>
    <w:rsid w:val="006D1E53"/>
    <w:rsid w:val="006D5034"/>
    <w:rsid w:val="006D50C4"/>
    <w:rsid w:val="006D5BE5"/>
    <w:rsid w:val="006D66B9"/>
    <w:rsid w:val="006D7906"/>
    <w:rsid w:val="006E0B86"/>
    <w:rsid w:val="006E21AB"/>
    <w:rsid w:val="006E32DD"/>
    <w:rsid w:val="006E4896"/>
    <w:rsid w:val="006E4EB9"/>
    <w:rsid w:val="006E7A6D"/>
    <w:rsid w:val="006F126C"/>
    <w:rsid w:val="006F197B"/>
    <w:rsid w:val="006F1B05"/>
    <w:rsid w:val="006F25AB"/>
    <w:rsid w:val="006F2F45"/>
    <w:rsid w:val="006F545B"/>
    <w:rsid w:val="006F79C7"/>
    <w:rsid w:val="006F7A68"/>
    <w:rsid w:val="006F7CA6"/>
    <w:rsid w:val="00700EE7"/>
    <w:rsid w:val="007030F1"/>
    <w:rsid w:val="007038EC"/>
    <w:rsid w:val="00703AED"/>
    <w:rsid w:val="007041C0"/>
    <w:rsid w:val="007061C5"/>
    <w:rsid w:val="007065B3"/>
    <w:rsid w:val="00707676"/>
    <w:rsid w:val="00711D85"/>
    <w:rsid w:val="00713E95"/>
    <w:rsid w:val="007164F8"/>
    <w:rsid w:val="00717619"/>
    <w:rsid w:val="00717FA7"/>
    <w:rsid w:val="00722AE0"/>
    <w:rsid w:val="00723164"/>
    <w:rsid w:val="00724566"/>
    <w:rsid w:val="00724876"/>
    <w:rsid w:val="00726CC3"/>
    <w:rsid w:val="00727ACC"/>
    <w:rsid w:val="00730B43"/>
    <w:rsid w:val="007346A4"/>
    <w:rsid w:val="007355ED"/>
    <w:rsid w:val="00735915"/>
    <w:rsid w:val="00735B8F"/>
    <w:rsid w:val="00743000"/>
    <w:rsid w:val="00744E3F"/>
    <w:rsid w:val="00750025"/>
    <w:rsid w:val="00751B89"/>
    <w:rsid w:val="00751ED9"/>
    <w:rsid w:val="00752E2B"/>
    <w:rsid w:val="007538C5"/>
    <w:rsid w:val="00753BD5"/>
    <w:rsid w:val="0075434F"/>
    <w:rsid w:val="00760C54"/>
    <w:rsid w:val="00762CA8"/>
    <w:rsid w:val="00763BE8"/>
    <w:rsid w:val="00765078"/>
    <w:rsid w:val="007654FB"/>
    <w:rsid w:val="00770EC1"/>
    <w:rsid w:val="0077358C"/>
    <w:rsid w:val="0077551D"/>
    <w:rsid w:val="00776F22"/>
    <w:rsid w:val="0077745D"/>
    <w:rsid w:val="00786994"/>
    <w:rsid w:val="0079302E"/>
    <w:rsid w:val="00793979"/>
    <w:rsid w:val="007955CB"/>
    <w:rsid w:val="00795EF6"/>
    <w:rsid w:val="00796271"/>
    <w:rsid w:val="007971D1"/>
    <w:rsid w:val="007A1349"/>
    <w:rsid w:val="007A2703"/>
    <w:rsid w:val="007A611F"/>
    <w:rsid w:val="007B7664"/>
    <w:rsid w:val="007C53BF"/>
    <w:rsid w:val="007C578E"/>
    <w:rsid w:val="007C7220"/>
    <w:rsid w:val="007C75EB"/>
    <w:rsid w:val="007D0DA6"/>
    <w:rsid w:val="007D11DA"/>
    <w:rsid w:val="007E0B4D"/>
    <w:rsid w:val="007E0FCB"/>
    <w:rsid w:val="007E1D0C"/>
    <w:rsid w:val="007E1D11"/>
    <w:rsid w:val="007E2946"/>
    <w:rsid w:val="007E2F11"/>
    <w:rsid w:val="007E5C47"/>
    <w:rsid w:val="007F1936"/>
    <w:rsid w:val="007F1E55"/>
    <w:rsid w:val="007F2028"/>
    <w:rsid w:val="007F53EA"/>
    <w:rsid w:val="007F6C67"/>
    <w:rsid w:val="00800B76"/>
    <w:rsid w:val="00801067"/>
    <w:rsid w:val="00802F80"/>
    <w:rsid w:val="00806AD1"/>
    <w:rsid w:val="00807999"/>
    <w:rsid w:val="0081215B"/>
    <w:rsid w:val="008123B4"/>
    <w:rsid w:val="0081683A"/>
    <w:rsid w:val="008173D6"/>
    <w:rsid w:val="00817821"/>
    <w:rsid w:val="0082345E"/>
    <w:rsid w:val="0082412B"/>
    <w:rsid w:val="00825377"/>
    <w:rsid w:val="0083059F"/>
    <w:rsid w:val="00833FD4"/>
    <w:rsid w:val="00837EE0"/>
    <w:rsid w:val="00840945"/>
    <w:rsid w:val="00842E89"/>
    <w:rsid w:val="00844B97"/>
    <w:rsid w:val="0084726E"/>
    <w:rsid w:val="00851C56"/>
    <w:rsid w:val="0085524B"/>
    <w:rsid w:val="0086084C"/>
    <w:rsid w:val="00865BA0"/>
    <w:rsid w:val="0086657E"/>
    <w:rsid w:val="00866F16"/>
    <w:rsid w:val="0087181C"/>
    <w:rsid w:val="00875E0E"/>
    <w:rsid w:val="00875F47"/>
    <w:rsid w:val="0087681A"/>
    <w:rsid w:val="00877611"/>
    <w:rsid w:val="00893BA1"/>
    <w:rsid w:val="00897232"/>
    <w:rsid w:val="00897BCB"/>
    <w:rsid w:val="00897EF7"/>
    <w:rsid w:val="008A0113"/>
    <w:rsid w:val="008A1224"/>
    <w:rsid w:val="008A3255"/>
    <w:rsid w:val="008A3ADB"/>
    <w:rsid w:val="008A3CED"/>
    <w:rsid w:val="008A684B"/>
    <w:rsid w:val="008A7EA3"/>
    <w:rsid w:val="008B0F64"/>
    <w:rsid w:val="008B49F6"/>
    <w:rsid w:val="008B7CC8"/>
    <w:rsid w:val="008B7D04"/>
    <w:rsid w:val="008C389B"/>
    <w:rsid w:val="008C5C7D"/>
    <w:rsid w:val="008C66B4"/>
    <w:rsid w:val="008C6850"/>
    <w:rsid w:val="008D4651"/>
    <w:rsid w:val="008D6AAB"/>
    <w:rsid w:val="008E216D"/>
    <w:rsid w:val="008E614E"/>
    <w:rsid w:val="008F0A9F"/>
    <w:rsid w:val="008F310C"/>
    <w:rsid w:val="008F3DA0"/>
    <w:rsid w:val="008F42E3"/>
    <w:rsid w:val="008F4F76"/>
    <w:rsid w:val="008F56BF"/>
    <w:rsid w:val="009004A5"/>
    <w:rsid w:val="0090114A"/>
    <w:rsid w:val="009013F8"/>
    <w:rsid w:val="0090190E"/>
    <w:rsid w:val="00902E9C"/>
    <w:rsid w:val="009038D5"/>
    <w:rsid w:val="00905FF5"/>
    <w:rsid w:val="00912F20"/>
    <w:rsid w:val="00916D1B"/>
    <w:rsid w:val="0092308A"/>
    <w:rsid w:val="0092312B"/>
    <w:rsid w:val="009254E8"/>
    <w:rsid w:val="00927712"/>
    <w:rsid w:val="009278ED"/>
    <w:rsid w:val="00932E14"/>
    <w:rsid w:val="00933B1E"/>
    <w:rsid w:val="009402FD"/>
    <w:rsid w:val="009407FF"/>
    <w:rsid w:val="00941936"/>
    <w:rsid w:val="00941C22"/>
    <w:rsid w:val="00942341"/>
    <w:rsid w:val="009427E8"/>
    <w:rsid w:val="00943D0A"/>
    <w:rsid w:val="00947261"/>
    <w:rsid w:val="009523C7"/>
    <w:rsid w:val="009551ED"/>
    <w:rsid w:val="00955A70"/>
    <w:rsid w:val="0095624E"/>
    <w:rsid w:val="00956C32"/>
    <w:rsid w:val="009625B4"/>
    <w:rsid w:val="00962728"/>
    <w:rsid w:val="009628DA"/>
    <w:rsid w:val="00963FD8"/>
    <w:rsid w:val="00967895"/>
    <w:rsid w:val="0097057B"/>
    <w:rsid w:val="00972195"/>
    <w:rsid w:val="00981415"/>
    <w:rsid w:val="00984698"/>
    <w:rsid w:val="00986630"/>
    <w:rsid w:val="009A1141"/>
    <w:rsid w:val="009A3B34"/>
    <w:rsid w:val="009A4D27"/>
    <w:rsid w:val="009B003A"/>
    <w:rsid w:val="009B05F4"/>
    <w:rsid w:val="009B73A7"/>
    <w:rsid w:val="009C0341"/>
    <w:rsid w:val="009C271C"/>
    <w:rsid w:val="009C3FF0"/>
    <w:rsid w:val="009C571B"/>
    <w:rsid w:val="009C6BCF"/>
    <w:rsid w:val="009D31D4"/>
    <w:rsid w:val="009D3316"/>
    <w:rsid w:val="009D778D"/>
    <w:rsid w:val="009D7BB7"/>
    <w:rsid w:val="009E2D90"/>
    <w:rsid w:val="009E4642"/>
    <w:rsid w:val="009E665D"/>
    <w:rsid w:val="009E7A60"/>
    <w:rsid w:val="009E7C2E"/>
    <w:rsid w:val="009F11F2"/>
    <w:rsid w:val="009F3D4F"/>
    <w:rsid w:val="00A0034C"/>
    <w:rsid w:val="00A04EAA"/>
    <w:rsid w:val="00A13ADA"/>
    <w:rsid w:val="00A14D18"/>
    <w:rsid w:val="00A17A23"/>
    <w:rsid w:val="00A20059"/>
    <w:rsid w:val="00A23804"/>
    <w:rsid w:val="00A23EB6"/>
    <w:rsid w:val="00A245B3"/>
    <w:rsid w:val="00A25D53"/>
    <w:rsid w:val="00A26CB3"/>
    <w:rsid w:val="00A26D0C"/>
    <w:rsid w:val="00A34459"/>
    <w:rsid w:val="00A36235"/>
    <w:rsid w:val="00A37CB9"/>
    <w:rsid w:val="00A4437E"/>
    <w:rsid w:val="00A451D5"/>
    <w:rsid w:val="00A463D2"/>
    <w:rsid w:val="00A46AB4"/>
    <w:rsid w:val="00A51C67"/>
    <w:rsid w:val="00A51DDC"/>
    <w:rsid w:val="00A53A76"/>
    <w:rsid w:val="00A60672"/>
    <w:rsid w:val="00A618FB"/>
    <w:rsid w:val="00A62731"/>
    <w:rsid w:val="00A633C4"/>
    <w:rsid w:val="00A6519A"/>
    <w:rsid w:val="00A740E1"/>
    <w:rsid w:val="00A76444"/>
    <w:rsid w:val="00A7751C"/>
    <w:rsid w:val="00A807B4"/>
    <w:rsid w:val="00A82677"/>
    <w:rsid w:val="00A90263"/>
    <w:rsid w:val="00A97003"/>
    <w:rsid w:val="00AA05B8"/>
    <w:rsid w:val="00AA6DD6"/>
    <w:rsid w:val="00AA7AD3"/>
    <w:rsid w:val="00AA7DDC"/>
    <w:rsid w:val="00AB24F6"/>
    <w:rsid w:val="00AB2634"/>
    <w:rsid w:val="00AB3233"/>
    <w:rsid w:val="00AC0481"/>
    <w:rsid w:val="00AC0D3A"/>
    <w:rsid w:val="00AC1884"/>
    <w:rsid w:val="00AC3444"/>
    <w:rsid w:val="00AC4D34"/>
    <w:rsid w:val="00AC58E2"/>
    <w:rsid w:val="00AC6C48"/>
    <w:rsid w:val="00AD1E19"/>
    <w:rsid w:val="00AD39A2"/>
    <w:rsid w:val="00AD6CDA"/>
    <w:rsid w:val="00AD6E32"/>
    <w:rsid w:val="00AD71E9"/>
    <w:rsid w:val="00AE02B0"/>
    <w:rsid w:val="00AE400C"/>
    <w:rsid w:val="00AE6855"/>
    <w:rsid w:val="00AE6D12"/>
    <w:rsid w:val="00AF1D05"/>
    <w:rsid w:val="00AF62EA"/>
    <w:rsid w:val="00B01BD0"/>
    <w:rsid w:val="00B02024"/>
    <w:rsid w:val="00B02087"/>
    <w:rsid w:val="00B020E2"/>
    <w:rsid w:val="00B02C3E"/>
    <w:rsid w:val="00B02F97"/>
    <w:rsid w:val="00B07244"/>
    <w:rsid w:val="00B11F1A"/>
    <w:rsid w:val="00B1292D"/>
    <w:rsid w:val="00B145A1"/>
    <w:rsid w:val="00B1640C"/>
    <w:rsid w:val="00B16A48"/>
    <w:rsid w:val="00B17E2B"/>
    <w:rsid w:val="00B20A54"/>
    <w:rsid w:val="00B32202"/>
    <w:rsid w:val="00B34257"/>
    <w:rsid w:val="00B4033F"/>
    <w:rsid w:val="00B408FA"/>
    <w:rsid w:val="00B40DBC"/>
    <w:rsid w:val="00B43C2F"/>
    <w:rsid w:val="00B43F90"/>
    <w:rsid w:val="00B44840"/>
    <w:rsid w:val="00B45C4E"/>
    <w:rsid w:val="00B504C3"/>
    <w:rsid w:val="00B5201D"/>
    <w:rsid w:val="00B5678B"/>
    <w:rsid w:val="00B636B6"/>
    <w:rsid w:val="00B7099F"/>
    <w:rsid w:val="00B71CB4"/>
    <w:rsid w:val="00B72973"/>
    <w:rsid w:val="00B72F79"/>
    <w:rsid w:val="00B7338F"/>
    <w:rsid w:val="00B74CBA"/>
    <w:rsid w:val="00B758A1"/>
    <w:rsid w:val="00B7666C"/>
    <w:rsid w:val="00B80078"/>
    <w:rsid w:val="00B8332B"/>
    <w:rsid w:val="00B860F1"/>
    <w:rsid w:val="00B876A8"/>
    <w:rsid w:val="00B87A4A"/>
    <w:rsid w:val="00B919B6"/>
    <w:rsid w:val="00B93304"/>
    <w:rsid w:val="00B96A63"/>
    <w:rsid w:val="00BA44E1"/>
    <w:rsid w:val="00BA4BF5"/>
    <w:rsid w:val="00BA7876"/>
    <w:rsid w:val="00BB023E"/>
    <w:rsid w:val="00BB16FE"/>
    <w:rsid w:val="00BB6FE2"/>
    <w:rsid w:val="00BC2B56"/>
    <w:rsid w:val="00BC44DB"/>
    <w:rsid w:val="00BC4B28"/>
    <w:rsid w:val="00BC614F"/>
    <w:rsid w:val="00BD0998"/>
    <w:rsid w:val="00BD4FA6"/>
    <w:rsid w:val="00BD51FD"/>
    <w:rsid w:val="00BD5351"/>
    <w:rsid w:val="00BE604A"/>
    <w:rsid w:val="00BE736A"/>
    <w:rsid w:val="00BE7E6F"/>
    <w:rsid w:val="00BF26A2"/>
    <w:rsid w:val="00BF276C"/>
    <w:rsid w:val="00BF4FF7"/>
    <w:rsid w:val="00BF50D3"/>
    <w:rsid w:val="00BF5F9D"/>
    <w:rsid w:val="00BF72C2"/>
    <w:rsid w:val="00BF7F0F"/>
    <w:rsid w:val="00C0219D"/>
    <w:rsid w:val="00C02975"/>
    <w:rsid w:val="00C0528F"/>
    <w:rsid w:val="00C058B7"/>
    <w:rsid w:val="00C07009"/>
    <w:rsid w:val="00C11DF2"/>
    <w:rsid w:val="00C17B1C"/>
    <w:rsid w:val="00C17BC8"/>
    <w:rsid w:val="00C218EF"/>
    <w:rsid w:val="00C23C11"/>
    <w:rsid w:val="00C257BF"/>
    <w:rsid w:val="00C30CEB"/>
    <w:rsid w:val="00C30F05"/>
    <w:rsid w:val="00C31B17"/>
    <w:rsid w:val="00C32795"/>
    <w:rsid w:val="00C3282B"/>
    <w:rsid w:val="00C32851"/>
    <w:rsid w:val="00C41EBE"/>
    <w:rsid w:val="00C43363"/>
    <w:rsid w:val="00C52602"/>
    <w:rsid w:val="00C52D25"/>
    <w:rsid w:val="00C53B18"/>
    <w:rsid w:val="00C5548E"/>
    <w:rsid w:val="00C571B1"/>
    <w:rsid w:val="00C57FAA"/>
    <w:rsid w:val="00C60C17"/>
    <w:rsid w:val="00C60FBC"/>
    <w:rsid w:val="00C627DB"/>
    <w:rsid w:val="00C6335A"/>
    <w:rsid w:val="00C63504"/>
    <w:rsid w:val="00C63965"/>
    <w:rsid w:val="00C64683"/>
    <w:rsid w:val="00C65955"/>
    <w:rsid w:val="00C6773E"/>
    <w:rsid w:val="00C67A23"/>
    <w:rsid w:val="00C70090"/>
    <w:rsid w:val="00C711D9"/>
    <w:rsid w:val="00C732C5"/>
    <w:rsid w:val="00C73E6D"/>
    <w:rsid w:val="00C73F92"/>
    <w:rsid w:val="00C75DBC"/>
    <w:rsid w:val="00C82335"/>
    <w:rsid w:val="00C854DF"/>
    <w:rsid w:val="00C855AF"/>
    <w:rsid w:val="00C87BC0"/>
    <w:rsid w:val="00C906C7"/>
    <w:rsid w:val="00C9755F"/>
    <w:rsid w:val="00CA03F5"/>
    <w:rsid w:val="00CA28A8"/>
    <w:rsid w:val="00CA43DC"/>
    <w:rsid w:val="00CA4814"/>
    <w:rsid w:val="00CA4DA6"/>
    <w:rsid w:val="00CA4F52"/>
    <w:rsid w:val="00CA6018"/>
    <w:rsid w:val="00CA796E"/>
    <w:rsid w:val="00CB089D"/>
    <w:rsid w:val="00CB0E25"/>
    <w:rsid w:val="00CB4321"/>
    <w:rsid w:val="00CB46E5"/>
    <w:rsid w:val="00CB4D06"/>
    <w:rsid w:val="00CB4F66"/>
    <w:rsid w:val="00CB71BC"/>
    <w:rsid w:val="00CC0147"/>
    <w:rsid w:val="00CC06E3"/>
    <w:rsid w:val="00CC48DF"/>
    <w:rsid w:val="00CC5E02"/>
    <w:rsid w:val="00CD2F02"/>
    <w:rsid w:val="00CD43E6"/>
    <w:rsid w:val="00CD498E"/>
    <w:rsid w:val="00CD5622"/>
    <w:rsid w:val="00CD57CD"/>
    <w:rsid w:val="00CE0102"/>
    <w:rsid w:val="00CE0EB0"/>
    <w:rsid w:val="00CE19BB"/>
    <w:rsid w:val="00CE2982"/>
    <w:rsid w:val="00CE40E5"/>
    <w:rsid w:val="00CE426E"/>
    <w:rsid w:val="00CE592B"/>
    <w:rsid w:val="00CE5E46"/>
    <w:rsid w:val="00CE7C37"/>
    <w:rsid w:val="00CF2299"/>
    <w:rsid w:val="00CF2837"/>
    <w:rsid w:val="00CF379A"/>
    <w:rsid w:val="00CF766B"/>
    <w:rsid w:val="00CF7772"/>
    <w:rsid w:val="00D00833"/>
    <w:rsid w:val="00D02BE3"/>
    <w:rsid w:val="00D123FE"/>
    <w:rsid w:val="00D1448A"/>
    <w:rsid w:val="00D216C3"/>
    <w:rsid w:val="00D22FBE"/>
    <w:rsid w:val="00D23082"/>
    <w:rsid w:val="00D247BE"/>
    <w:rsid w:val="00D261F8"/>
    <w:rsid w:val="00D2641B"/>
    <w:rsid w:val="00D3078B"/>
    <w:rsid w:val="00D33CF6"/>
    <w:rsid w:val="00D34092"/>
    <w:rsid w:val="00D36C50"/>
    <w:rsid w:val="00D435BA"/>
    <w:rsid w:val="00D4469A"/>
    <w:rsid w:val="00D45FF0"/>
    <w:rsid w:val="00D47535"/>
    <w:rsid w:val="00D47BDF"/>
    <w:rsid w:val="00D5078B"/>
    <w:rsid w:val="00D50E1A"/>
    <w:rsid w:val="00D5148C"/>
    <w:rsid w:val="00D52087"/>
    <w:rsid w:val="00D54273"/>
    <w:rsid w:val="00D5499D"/>
    <w:rsid w:val="00D56554"/>
    <w:rsid w:val="00D56CE2"/>
    <w:rsid w:val="00D60D93"/>
    <w:rsid w:val="00D61014"/>
    <w:rsid w:val="00D622C5"/>
    <w:rsid w:val="00D62EA1"/>
    <w:rsid w:val="00D67C3B"/>
    <w:rsid w:val="00D7162F"/>
    <w:rsid w:val="00D71B97"/>
    <w:rsid w:val="00D74435"/>
    <w:rsid w:val="00D748FC"/>
    <w:rsid w:val="00D76EE3"/>
    <w:rsid w:val="00D77789"/>
    <w:rsid w:val="00D81F3B"/>
    <w:rsid w:val="00D847F8"/>
    <w:rsid w:val="00D84FF2"/>
    <w:rsid w:val="00D8690B"/>
    <w:rsid w:val="00D87519"/>
    <w:rsid w:val="00D90DA0"/>
    <w:rsid w:val="00D91668"/>
    <w:rsid w:val="00D91EDB"/>
    <w:rsid w:val="00D92B3D"/>
    <w:rsid w:val="00D958E2"/>
    <w:rsid w:val="00D96941"/>
    <w:rsid w:val="00D97DD4"/>
    <w:rsid w:val="00DA56D1"/>
    <w:rsid w:val="00DA62F2"/>
    <w:rsid w:val="00DA65D3"/>
    <w:rsid w:val="00DB1D3E"/>
    <w:rsid w:val="00DB2DD6"/>
    <w:rsid w:val="00DB31A3"/>
    <w:rsid w:val="00DB3350"/>
    <w:rsid w:val="00DB673D"/>
    <w:rsid w:val="00DB6B92"/>
    <w:rsid w:val="00DD1B54"/>
    <w:rsid w:val="00DD2126"/>
    <w:rsid w:val="00DD602D"/>
    <w:rsid w:val="00DE37E0"/>
    <w:rsid w:val="00DE4BD8"/>
    <w:rsid w:val="00DE509D"/>
    <w:rsid w:val="00DE5569"/>
    <w:rsid w:val="00DE677E"/>
    <w:rsid w:val="00DE7FFA"/>
    <w:rsid w:val="00DF0BC2"/>
    <w:rsid w:val="00DF116B"/>
    <w:rsid w:val="00DF23F4"/>
    <w:rsid w:val="00DF4F44"/>
    <w:rsid w:val="00DF56C5"/>
    <w:rsid w:val="00E006EE"/>
    <w:rsid w:val="00E00B39"/>
    <w:rsid w:val="00E02317"/>
    <w:rsid w:val="00E05163"/>
    <w:rsid w:val="00E062F4"/>
    <w:rsid w:val="00E07110"/>
    <w:rsid w:val="00E07224"/>
    <w:rsid w:val="00E13952"/>
    <w:rsid w:val="00E13A3F"/>
    <w:rsid w:val="00E165FC"/>
    <w:rsid w:val="00E16C95"/>
    <w:rsid w:val="00E21C76"/>
    <w:rsid w:val="00E2319A"/>
    <w:rsid w:val="00E24F15"/>
    <w:rsid w:val="00E276DD"/>
    <w:rsid w:val="00E27D01"/>
    <w:rsid w:val="00E305BD"/>
    <w:rsid w:val="00E317CF"/>
    <w:rsid w:val="00E31A6B"/>
    <w:rsid w:val="00E333AE"/>
    <w:rsid w:val="00E33FE2"/>
    <w:rsid w:val="00E344AD"/>
    <w:rsid w:val="00E35A4A"/>
    <w:rsid w:val="00E35C69"/>
    <w:rsid w:val="00E44A56"/>
    <w:rsid w:val="00E53BEF"/>
    <w:rsid w:val="00E5457B"/>
    <w:rsid w:val="00E5533C"/>
    <w:rsid w:val="00E608CA"/>
    <w:rsid w:val="00E64194"/>
    <w:rsid w:val="00E65934"/>
    <w:rsid w:val="00E70A4B"/>
    <w:rsid w:val="00E710E6"/>
    <w:rsid w:val="00E723F6"/>
    <w:rsid w:val="00E72BAD"/>
    <w:rsid w:val="00E73D84"/>
    <w:rsid w:val="00E757E9"/>
    <w:rsid w:val="00E75AD2"/>
    <w:rsid w:val="00E75EA2"/>
    <w:rsid w:val="00E77087"/>
    <w:rsid w:val="00E82B3A"/>
    <w:rsid w:val="00E82DBD"/>
    <w:rsid w:val="00E83920"/>
    <w:rsid w:val="00E8454C"/>
    <w:rsid w:val="00E8716B"/>
    <w:rsid w:val="00E87B86"/>
    <w:rsid w:val="00E91BFE"/>
    <w:rsid w:val="00E94E12"/>
    <w:rsid w:val="00E9643F"/>
    <w:rsid w:val="00E97DC2"/>
    <w:rsid w:val="00EA1CA0"/>
    <w:rsid w:val="00EA4985"/>
    <w:rsid w:val="00EA4DCF"/>
    <w:rsid w:val="00EA66D7"/>
    <w:rsid w:val="00EA6EF1"/>
    <w:rsid w:val="00EB4261"/>
    <w:rsid w:val="00EB64F0"/>
    <w:rsid w:val="00EB6B18"/>
    <w:rsid w:val="00EB7C7F"/>
    <w:rsid w:val="00EC5D1E"/>
    <w:rsid w:val="00EC7014"/>
    <w:rsid w:val="00EC7B9D"/>
    <w:rsid w:val="00ED45E8"/>
    <w:rsid w:val="00ED4B28"/>
    <w:rsid w:val="00ED5901"/>
    <w:rsid w:val="00EE09F6"/>
    <w:rsid w:val="00EE13EB"/>
    <w:rsid w:val="00EE183D"/>
    <w:rsid w:val="00EF007B"/>
    <w:rsid w:val="00EF0BF9"/>
    <w:rsid w:val="00EF4CAB"/>
    <w:rsid w:val="00EF544F"/>
    <w:rsid w:val="00EF5CD1"/>
    <w:rsid w:val="00EF5D29"/>
    <w:rsid w:val="00EF6622"/>
    <w:rsid w:val="00EF6EA5"/>
    <w:rsid w:val="00F03188"/>
    <w:rsid w:val="00F044DF"/>
    <w:rsid w:val="00F103A9"/>
    <w:rsid w:val="00F11E23"/>
    <w:rsid w:val="00F13186"/>
    <w:rsid w:val="00F173DE"/>
    <w:rsid w:val="00F17713"/>
    <w:rsid w:val="00F201E4"/>
    <w:rsid w:val="00F20B93"/>
    <w:rsid w:val="00F20CCD"/>
    <w:rsid w:val="00F20D18"/>
    <w:rsid w:val="00F2231B"/>
    <w:rsid w:val="00F230A5"/>
    <w:rsid w:val="00F25163"/>
    <w:rsid w:val="00F25733"/>
    <w:rsid w:val="00F27C0A"/>
    <w:rsid w:val="00F32F65"/>
    <w:rsid w:val="00F33599"/>
    <w:rsid w:val="00F336F0"/>
    <w:rsid w:val="00F33D69"/>
    <w:rsid w:val="00F3498E"/>
    <w:rsid w:val="00F34D46"/>
    <w:rsid w:val="00F355E6"/>
    <w:rsid w:val="00F366AE"/>
    <w:rsid w:val="00F43F26"/>
    <w:rsid w:val="00F45A49"/>
    <w:rsid w:val="00F47FC9"/>
    <w:rsid w:val="00F53C55"/>
    <w:rsid w:val="00F54DA5"/>
    <w:rsid w:val="00F6022A"/>
    <w:rsid w:val="00F608FD"/>
    <w:rsid w:val="00F620D8"/>
    <w:rsid w:val="00F653EF"/>
    <w:rsid w:val="00F70211"/>
    <w:rsid w:val="00F70B17"/>
    <w:rsid w:val="00F7102D"/>
    <w:rsid w:val="00F713CC"/>
    <w:rsid w:val="00F72E16"/>
    <w:rsid w:val="00F7548E"/>
    <w:rsid w:val="00F83D9D"/>
    <w:rsid w:val="00F85F67"/>
    <w:rsid w:val="00F93BA4"/>
    <w:rsid w:val="00F94780"/>
    <w:rsid w:val="00F949C9"/>
    <w:rsid w:val="00F95313"/>
    <w:rsid w:val="00F9708B"/>
    <w:rsid w:val="00FA224B"/>
    <w:rsid w:val="00FA4F64"/>
    <w:rsid w:val="00FA6501"/>
    <w:rsid w:val="00FB05A8"/>
    <w:rsid w:val="00FB074B"/>
    <w:rsid w:val="00FB3520"/>
    <w:rsid w:val="00FB3A5E"/>
    <w:rsid w:val="00FB3BFF"/>
    <w:rsid w:val="00FB422C"/>
    <w:rsid w:val="00FB6789"/>
    <w:rsid w:val="00FB6CCD"/>
    <w:rsid w:val="00FB738E"/>
    <w:rsid w:val="00FB7C3C"/>
    <w:rsid w:val="00FC13EF"/>
    <w:rsid w:val="00FC3994"/>
    <w:rsid w:val="00FC485C"/>
    <w:rsid w:val="00FC4F15"/>
    <w:rsid w:val="00FC671B"/>
    <w:rsid w:val="00FD20FF"/>
    <w:rsid w:val="00FD2642"/>
    <w:rsid w:val="00FD6561"/>
    <w:rsid w:val="00FD7F6B"/>
    <w:rsid w:val="00FF1AA4"/>
    <w:rsid w:val="00FF573D"/>
    <w:rsid w:val="00FF67E8"/>
    <w:rsid w:val="00FF786D"/>
    <w:rsid w:val="01176227"/>
    <w:rsid w:val="012E464E"/>
    <w:rsid w:val="0171288B"/>
    <w:rsid w:val="01A45F76"/>
    <w:rsid w:val="01BA1666"/>
    <w:rsid w:val="02441F1E"/>
    <w:rsid w:val="025263E9"/>
    <w:rsid w:val="02526CDC"/>
    <w:rsid w:val="0284231A"/>
    <w:rsid w:val="029E000F"/>
    <w:rsid w:val="02DC729D"/>
    <w:rsid w:val="02EC3E27"/>
    <w:rsid w:val="02F3762A"/>
    <w:rsid w:val="02FC4A27"/>
    <w:rsid w:val="03036B7C"/>
    <w:rsid w:val="030B47EA"/>
    <w:rsid w:val="033712B1"/>
    <w:rsid w:val="03371D3B"/>
    <w:rsid w:val="0347578A"/>
    <w:rsid w:val="034C2F44"/>
    <w:rsid w:val="0387480E"/>
    <w:rsid w:val="038A0130"/>
    <w:rsid w:val="038E75CD"/>
    <w:rsid w:val="03E31333"/>
    <w:rsid w:val="049D0600"/>
    <w:rsid w:val="04CE3D21"/>
    <w:rsid w:val="05082A98"/>
    <w:rsid w:val="051772BA"/>
    <w:rsid w:val="05326616"/>
    <w:rsid w:val="054E7B19"/>
    <w:rsid w:val="057E7D51"/>
    <w:rsid w:val="0595023B"/>
    <w:rsid w:val="05A229EE"/>
    <w:rsid w:val="05A548B8"/>
    <w:rsid w:val="05A82331"/>
    <w:rsid w:val="05AD693D"/>
    <w:rsid w:val="05AE2379"/>
    <w:rsid w:val="05C84C14"/>
    <w:rsid w:val="05EA6040"/>
    <w:rsid w:val="05EC7CCA"/>
    <w:rsid w:val="065235DC"/>
    <w:rsid w:val="06774F7B"/>
    <w:rsid w:val="068C5C42"/>
    <w:rsid w:val="06B6519F"/>
    <w:rsid w:val="06D239EE"/>
    <w:rsid w:val="06D34AB0"/>
    <w:rsid w:val="07A36216"/>
    <w:rsid w:val="07B00EEB"/>
    <w:rsid w:val="07CD0D05"/>
    <w:rsid w:val="07DE071F"/>
    <w:rsid w:val="08154017"/>
    <w:rsid w:val="08444A26"/>
    <w:rsid w:val="0854757D"/>
    <w:rsid w:val="08591D90"/>
    <w:rsid w:val="086E502D"/>
    <w:rsid w:val="088A7F5F"/>
    <w:rsid w:val="088C017B"/>
    <w:rsid w:val="08F52520"/>
    <w:rsid w:val="09012917"/>
    <w:rsid w:val="090D6477"/>
    <w:rsid w:val="09122D64"/>
    <w:rsid w:val="094E5430"/>
    <w:rsid w:val="09502F56"/>
    <w:rsid w:val="09656A7F"/>
    <w:rsid w:val="09AB56BC"/>
    <w:rsid w:val="0A0D0C39"/>
    <w:rsid w:val="0A397E8E"/>
    <w:rsid w:val="0A8430B4"/>
    <w:rsid w:val="0A890542"/>
    <w:rsid w:val="0A9A6080"/>
    <w:rsid w:val="0AA8300E"/>
    <w:rsid w:val="0AC848BA"/>
    <w:rsid w:val="0AEC0935"/>
    <w:rsid w:val="0AF830E0"/>
    <w:rsid w:val="0B185FAE"/>
    <w:rsid w:val="0B4A7110"/>
    <w:rsid w:val="0B51729E"/>
    <w:rsid w:val="0B5C3E34"/>
    <w:rsid w:val="0B696BE8"/>
    <w:rsid w:val="0B7078E0"/>
    <w:rsid w:val="0B8E0947"/>
    <w:rsid w:val="0BD46426"/>
    <w:rsid w:val="0BF6725E"/>
    <w:rsid w:val="0C4A7FF2"/>
    <w:rsid w:val="0C6A73D0"/>
    <w:rsid w:val="0C6F76DD"/>
    <w:rsid w:val="0CE71E24"/>
    <w:rsid w:val="0CE9152F"/>
    <w:rsid w:val="0D2C7836"/>
    <w:rsid w:val="0D491BC6"/>
    <w:rsid w:val="0D4A32BB"/>
    <w:rsid w:val="0D5D2C2B"/>
    <w:rsid w:val="0D61509A"/>
    <w:rsid w:val="0D6A13FD"/>
    <w:rsid w:val="0D736B7C"/>
    <w:rsid w:val="0DD0045F"/>
    <w:rsid w:val="0DD05F24"/>
    <w:rsid w:val="0E3B2427"/>
    <w:rsid w:val="0E673902"/>
    <w:rsid w:val="0EA54CD1"/>
    <w:rsid w:val="0EA55191"/>
    <w:rsid w:val="0EA92EB4"/>
    <w:rsid w:val="0EB607B4"/>
    <w:rsid w:val="0EBC61DF"/>
    <w:rsid w:val="0F010340"/>
    <w:rsid w:val="0F841BAC"/>
    <w:rsid w:val="0F8A1E41"/>
    <w:rsid w:val="0F99416F"/>
    <w:rsid w:val="0FE25857"/>
    <w:rsid w:val="102A1DC3"/>
    <w:rsid w:val="103C4234"/>
    <w:rsid w:val="103F63D8"/>
    <w:rsid w:val="10537243"/>
    <w:rsid w:val="10570655"/>
    <w:rsid w:val="106E3486"/>
    <w:rsid w:val="109908F7"/>
    <w:rsid w:val="109E6C9D"/>
    <w:rsid w:val="10CC1FC5"/>
    <w:rsid w:val="10FC6AD8"/>
    <w:rsid w:val="11041B38"/>
    <w:rsid w:val="11275FA5"/>
    <w:rsid w:val="11767E25"/>
    <w:rsid w:val="11E06E41"/>
    <w:rsid w:val="11E608FC"/>
    <w:rsid w:val="11FA23BE"/>
    <w:rsid w:val="121311DB"/>
    <w:rsid w:val="121F5E5E"/>
    <w:rsid w:val="1243490C"/>
    <w:rsid w:val="12771554"/>
    <w:rsid w:val="12A06CFD"/>
    <w:rsid w:val="12E67E4A"/>
    <w:rsid w:val="12E94F31"/>
    <w:rsid w:val="12FE7BB6"/>
    <w:rsid w:val="130B72A2"/>
    <w:rsid w:val="1312474C"/>
    <w:rsid w:val="131C4B06"/>
    <w:rsid w:val="13272D3F"/>
    <w:rsid w:val="13480CB7"/>
    <w:rsid w:val="1365110B"/>
    <w:rsid w:val="136C7CAE"/>
    <w:rsid w:val="136D49A6"/>
    <w:rsid w:val="137656CD"/>
    <w:rsid w:val="137D096F"/>
    <w:rsid w:val="139B18E6"/>
    <w:rsid w:val="13A77C36"/>
    <w:rsid w:val="13AB6AFA"/>
    <w:rsid w:val="14136929"/>
    <w:rsid w:val="143A4F2F"/>
    <w:rsid w:val="145A3A9E"/>
    <w:rsid w:val="147D559E"/>
    <w:rsid w:val="14940904"/>
    <w:rsid w:val="1505657D"/>
    <w:rsid w:val="150A1090"/>
    <w:rsid w:val="157C1382"/>
    <w:rsid w:val="15861F52"/>
    <w:rsid w:val="15877D00"/>
    <w:rsid w:val="15BC7495"/>
    <w:rsid w:val="164166E1"/>
    <w:rsid w:val="1646712E"/>
    <w:rsid w:val="16731776"/>
    <w:rsid w:val="1685646E"/>
    <w:rsid w:val="1687779F"/>
    <w:rsid w:val="16995EB3"/>
    <w:rsid w:val="16B93F4A"/>
    <w:rsid w:val="16C27D90"/>
    <w:rsid w:val="16CC1500"/>
    <w:rsid w:val="16EA6504"/>
    <w:rsid w:val="17270979"/>
    <w:rsid w:val="17464B70"/>
    <w:rsid w:val="174E2D0E"/>
    <w:rsid w:val="17556950"/>
    <w:rsid w:val="176C08DA"/>
    <w:rsid w:val="17AC77D5"/>
    <w:rsid w:val="17F17F76"/>
    <w:rsid w:val="186C3CA6"/>
    <w:rsid w:val="186F364B"/>
    <w:rsid w:val="18716A45"/>
    <w:rsid w:val="189930BC"/>
    <w:rsid w:val="189D2197"/>
    <w:rsid w:val="18B84C3E"/>
    <w:rsid w:val="18E65685"/>
    <w:rsid w:val="18F51424"/>
    <w:rsid w:val="19120F39"/>
    <w:rsid w:val="192F1AFF"/>
    <w:rsid w:val="196F3295"/>
    <w:rsid w:val="19932C91"/>
    <w:rsid w:val="1A405642"/>
    <w:rsid w:val="1A536F16"/>
    <w:rsid w:val="1B026899"/>
    <w:rsid w:val="1BAD5FE6"/>
    <w:rsid w:val="1BD167E0"/>
    <w:rsid w:val="1BE66F67"/>
    <w:rsid w:val="1C404D2F"/>
    <w:rsid w:val="1C80194F"/>
    <w:rsid w:val="1C892719"/>
    <w:rsid w:val="1CD452C3"/>
    <w:rsid w:val="1CD65CDE"/>
    <w:rsid w:val="1D3249F5"/>
    <w:rsid w:val="1D464944"/>
    <w:rsid w:val="1D5B6EC1"/>
    <w:rsid w:val="1D7B752A"/>
    <w:rsid w:val="1D943902"/>
    <w:rsid w:val="1DA74E20"/>
    <w:rsid w:val="1DC35F95"/>
    <w:rsid w:val="1DD759E5"/>
    <w:rsid w:val="1DED3012"/>
    <w:rsid w:val="1DFA4FAC"/>
    <w:rsid w:val="1DFD59AA"/>
    <w:rsid w:val="1E2C7696"/>
    <w:rsid w:val="1EBA5AB8"/>
    <w:rsid w:val="1F432D46"/>
    <w:rsid w:val="1F483424"/>
    <w:rsid w:val="1F6E0BE7"/>
    <w:rsid w:val="1F736BAF"/>
    <w:rsid w:val="1F741417"/>
    <w:rsid w:val="1FB80949"/>
    <w:rsid w:val="1FFA7ACD"/>
    <w:rsid w:val="20072B18"/>
    <w:rsid w:val="201A4583"/>
    <w:rsid w:val="20594A8B"/>
    <w:rsid w:val="20601D91"/>
    <w:rsid w:val="206B4E99"/>
    <w:rsid w:val="207018C7"/>
    <w:rsid w:val="20765541"/>
    <w:rsid w:val="209D0B0C"/>
    <w:rsid w:val="20E12D1D"/>
    <w:rsid w:val="20E410EC"/>
    <w:rsid w:val="21023638"/>
    <w:rsid w:val="219102A2"/>
    <w:rsid w:val="21A2719B"/>
    <w:rsid w:val="21D32344"/>
    <w:rsid w:val="21D86D42"/>
    <w:rsid w:val="21FA61CE"/>
    <w:rsid w:val="220A36CE"/>
    <w:rsid w:val="22487CEB"/>
    <w:rsid w:val="2282414A"/>
    <w:rsid w:val="22C43E3D"/>
    <w:rsid w:val="22EF1DB7"/>
    <w:rsid w:val="235B5CE2"/>
    <w:rsid w:val="2361677F"/>
    <w:rsid w:val="238A77FD"/>
    <w:rsid w:val="24004C34"/>
    <w:rsid w:val="2401202A"/>
    <w:rsid w:val="24250302"/>
    <w:rsid w:val="243D6929"/>
    <w:rsid w:val="24A029C6"/>
    <w:rsid w:val="24A2708D"/>
    <w:rsid w:val="24AD73EB"/>
    <w:rsid w:val="25097302"/>
    <w:rsid w:val="251B2213"/>
    <w:rsid w:val="25246250"/>
    <w:rsid w:val="254C4E47"/>
    <w:rsid w:val="25817A40"/>
    <w:rsid w:val="258E7F15"/>
    <w:rsid w:val="259D3C85"/>
    <w:rsid w:val="25B50124"/>
    <w:rsid w:val="25B50C3C"/>
    <w:rsid w:val="25B54297"/>
    <w:rsid w:val="25C261CD"/>
    <w:rsid w:val="25E67E91"/>
    <w:rsid w:val="25F029E8"/>
    <w:rsid w:val="25F3318F"/>
    <w:rsid w:val="26012A76"/>
    <w:rsid w:val="260314CD"/>
    <w:rsid w:val="260E4048"/>
    <w:rsid w:val="264523C1"/>
    <w:rsid w:val="26A30613"/>
    <w:rsid w:val="26C66D7E"/>
    <w:rsid w:val="26F3714B"/>
    <w:rsid w:val="275316D4"/>
    <w:rsid w:val="27900B35"/>
    <w:rsid w:val="28074664"/>
    <w:rsid w:val="283830DC"/>
    <w:rsid w:val="284301C5"/>
    <w:rsid w:val="284B2485"/>
    <w:rsid w:val="286E6460"/>
    <w:rsid w:val="28752473"/>
    <w:rsid w:val="28773C04"/>
    <w:rsid w:val="288C7FD7"/>
    <w:rsid w:val="28AB27C9"/>
    <w:rsid w:val="28C36618"/>
    <w:rsid w:val="28EC45F2"/>
    <w:rsid w:val="28F96B34"/>
    <w:rsid w:val="28FA73CB"/>
    <w:rsid w:val="29256E26"/>
    <w:rsid w:val="29657F00"/>
    <w:rsid w:val="297C28FA"/>
    <w:rsid w:val="299A6CDB"/>
    <w:rsid w:val="29A16D89"/>
    <w:rsid w:val="29E90B31"/>
    <w:rsid w:val="2A37764A"/>
    <w:rsid w:val="2A6B1546"/>
    <w:rsid w:val="2A6D2610"/>
    <w:rsid w:val="2AD10C63"/>
    <w:rsid w:val="2AE96B74"/>
    <w:rsid w:val="2AFC5D0A"/>
    <w:rsid w:val="2B071AB9"/>
    <w:rsid w:val="2B4A1AA4"/>
    <w:rsid w:val="2BBB02AC"/>
    <w:rsid w:val="2BD33847"/>
    <w:rsid w:val="2C181618"/>
    <w:rsid w:val="2C236465"/>
    <w:rsid w:val="2C4920B8"/>
    <w:rsid w:val="2C585153"/>
    <w:rsid w:val="2C607F84"/>
    <w:rsid w:val="2C6A0149"/>
    <w:rsid w:val="2C6A2CFE"/>
    <w:rsid w:val="2C981F00"/>
    <w:rsid w:val="2CAB78D6"/>
    <w:rsid w:val="2CCD217B"/>
    <w:rsid w:val="2CD84C6E"/>
    <w:rsid w:val="2CEA3379"/>
    <w:rsid w:val="2CF26CB6"/>
    <w:rsid w:val="2D584C4C"/>
    <w:rsid w:val="2D7E77E3"/>
    <w:rsid w:val="2D822B57"/>
    <w:rsid w:val="2DA005C1"/>
    <w:rsid w:val="2DA46DBA"/>
    <w:rsid w:val="2DC52932"/>
    <w:rsid w:val="2DDE74FF"/>
    <w:rsid w:val="2DEE0FC9"/>
    <w:rsid w:val="2E00644A"/>
    <w:rsid w:val="2E19031D"/>
    <w:rsid w:val="2E2A029D"/>
    <w:rsid w:val="2E3D611B"/>
    <w:rsid w:val="2E686905"/>
    <w:rsid w:val="2EFC30B5"/>
    <w:rsid w:val="2EFF3A78"/>
    <w:rsid w:val="2F2233BD"/>
    <w:rsid w:val="2F32666F"/>
    <w:rsid w:val="2F416D1A"/>
    <w:rsid w:val="2F850C07"/>
    <w:rsid w:val="2FD63906"/>
    <w:rsid w:val="303B0398"/>
    <w:rsid w:val="30677B5E"/>
    <w:rsid w:val="30C32A3D"/>
    <w:rsid w:val="30C77874"/>
    <w:rsid w:val="30E90BD7"/>
    <w:rsid w:val="31337765"/>
    <w:rsid w:val="313738D0"/>
    <w:rsid w:val="318F4EE2"/>
    <w:rsid w:val="31A324C1"/>
    <w:rsid w:val="31EB7672"/>
    <w:rsid w:val="31F060E7"/>
    <w:rsid w:val="323918B9"/>
    <w:rsid w:val="32483FED"/>
    <w:rsid w:val="324F0172"/>
    <w:rsid w:val="327E75E9"/>
    <w:rsid w:val="32810AE8"/>
    <w:rsid w:val="32FA3A15"/>
    <w:rsid w:val="330C763F"/>
    <w:rsid w:val="333846BD"/>
    <w:rsid w:val="334D2C20"/>
    <w:rsid w:val="33500FF0"/>
    <w:rsid w:val="3382186A"/>
    <w:rsid w:val="33E537D1"/>
    <w:rsid w:val="34262F80"/>
    <w:rsid w:val="3438211C"/>
    <w:rsid w:val="343C645F"/>
    <w:rsid w:val="344C003F"/>
    <w:rsid w:val="345C6529"/>
    <w:rsid w:val="346B6820"/>
    <w:rsid w:val="347A60D0"/>
    <w:rsid w:val="34E140C2"/>
    <w:rsid w:val="34F91E32"/>
    <w:rsid w:val="35004F81"/>
    <w:rsid w:val="350727B3"/>
    <w:rsid w:val="350860F1"/>
    <w:rsid w:val="352E250B"/>
    <w:rsid w:val="355959E7"/>
    <w:rsid w:val="357339A5"/>
    <w:rsid w:val="35875C12"/>
    <w:rsid w:val="359A6B32"/>
    <w:rsid w:val="360D3DFA"/>
    <w:rsid w:val="361708F8"/>
    <w:rsid w:val="36210D99"/>
    <w:rsid w:val="363E29E1"/>
    <w:rsid w:val="3641163C"/>
    <w:rsid w:val="365B6913"/>
    <w:rsid w:val="365E6994"/>
    <w:rsid w:val="36615A90"/>
    <w:rsid w:val="36691FB2"/>
    <w:rsid w:val="368B786C"/>
    <w:rsid w:val="368E3756"/>
    <w:rsid w:val="369013D6"/>
    <w:rsid w:val="36920D9B"/>
    <w:rsid w:val="36997E62"/>
    <w:rsid w:val="36B33A1E"/>
    <w:rsid w:val="36C65E8B"/>
    <w:rsid w:val="37046FAB"/>
    <w:rsid w:val="372431A9"/>
    <w:rsid w:val="37292E9C"/>
    <w:rsid w:val="37587D8C"/>
    <w:rsid w:val="378B04B3"/>
    <w:rsid w:val="37AE6F16"/>
    <w:rsid w:val="37B057B4"/>
    <w:rsid w:val="37B502A5"/>
    <w:rsid w:val="37F35C2C"/>
    <w:rsid w:val="38166A39"/>
    <w:rsid w:val="382611A3"/>
    <w:rsid w:val="384E195E"/>
    <w:rsid w:val="387C33A4"/>
    <w:rsid w:val="38B16928"/>
    <w:rsid w:val="38BE4FBD"/>
    <w:rsid w:val="38C82F68"/>
    <w:rsid w:val="38DB1CC3"/>
    <w:rsid w:val="38E86458"/>
    <w:rsid w:val="393D74F7"/>
    <w:rsid w:val="398A6FFC"/>
    <w:rsid w:val="39B30788"/>
    <w:rsid w:val="39DD307A"/>
    <w:rsid w:val="39F173A3"/>
    <w:rsid w:val="3A117647"/>
    <w:rsid w:val="3A2A340B"/>
    <w:rsid w:val="3A3A6190"/>
    <w:rsid w:val="3A3F2F59"/>
    <w:rsid w:val="3A5B4674"/>
    <w:rsid w:val="3A7004D7"/>
    <w:rsid w:val="3A8179E2"/>
    <w:rsid w:val="3A8B36AE"/>
    <w:rsid w:val="3ABE3914"/>
    <w:rsid w:val="3AE60D39"/>
    <w:rsid w:val="3B370C7E"/>
    <w:rsid w:val="3B712735"/>
    <w:rsid w:val="3BE3725A"/>
    <w:rsid w:val="3BF30D4B"/>
    <w:rsid w:val="3C2C6EF7"/>
    <w:rsid w:val="3C5A0209"/>
    <w:rsid w:val="3C8A1D00"/>
    <w:rsid w:val="3CA42F19"/>
    <w:rsid w:val="3CAC22EF"/>
    <w:rsid w:val="3CB7471D"/>
    <w:rsid w:val="3CBF45D5"/>
    <w:rsid w:val="3D404AB5"/>
    <w:rsid w:val="3D4946C9"/>
    <w:rsid w:val="3D4A05AB"/>
    <w:rsid w:val="3D5505F1"/>
    <w:rsid w:val="3D5B1AA9"/>
    <w:rsid w:val="3D66752E"/>
    <w:rsid w:val="3D6D517E"/>
    <w:rsid w:val="3D83419E"/>
    <w:rsid w:val="3DC3315F"/>
    <w:rsid w:val="3DC339D6"/>
    <w:rsid w:val="3DE67C00"/>
    <w:rsid w:val="3DE93883"/>
    <w:rsid w:val="3DEB0EC4"/>
    <w:rsid w:val="3E2F5B7C"/>
    <w:rsid w:val="3E3C5118"/>
    <w:rsid w:val="3EA82911"/>
    <w:rsid w:val="3EB92D70"/>
    <w:rsid w:val="3EBE0387"/>
    <w:rsid w:val="3EE56675"/>
    <w:rsid w:val="3EEA0EAA"/>
    <w:rsid w:val="3EF570A8"/>
    <w:rsid w:val="3F084143"/>
    <w:rsid w:val="3F241969"/>
    <w:rsid w:val="3F26659C"/>
    <w:rsid w:val="3F2F3EDF"/>
    <w:rsid w:val="3F362450"/>
    <w:rsid w:val="3F520041"/>
    <w:rsid w:val="3F5E65F5"/>
    <w:rsid w:val="405879F4"/>
    <w:rsid w:val="40A1628B"/>
    <w:rsid w:val="40B631DD"/>
    <w:rsid w:val="40CD2B03"/>
    <w:rsid w:val="40D56F1F"/>
    <w:rsid w:val="40F56C63"/>
    <w:rsid w:val="41157907"/>
    <w:rsid w:val="411E510D"/>
    <w:rsid w:val="4141076D"/>
    <w:rsid w:val="4165518D"/>
    <w:rsid w:val="416D399E"/>
    <w:rsid w:val="41B71191"/>
    <w:rsid w:val="41C52633"/>
    <w:rsid w:val="41E7230C"/>
    <w:rsid w:val="422872E0"/>
    <w:rsid w:val="422C3DD6"/>
    <w:rsid w:val="42391EEE"/>
    <w:rsid w:val="424550A2"/>
    <w:rsid w:val="426E2B88"/>
    <w:rsid w:val="42B31D1D"/>
    <w:rsid w:val="42C341BE"/>
    <w:rsid w:val="42F06C80"/>
    <w:rsid w:val="432958CE"/>
    <w:rsid w:val="43307244"/>
    <w:rsid w:val="43590E24"/>
    <w:rsid w:val="436E1F8E"/>
    <w:rsid w:val="437023C8"/>
    <w:rsid w:val="437C611B"/>
    <w:rsid w:val="43903853"/>
    <w:rsid w:val="43B45FBB"/>
    <w:rsid w:val="43C20664"/>
    <w:rsid w:val="43C40D41"/>
    <w:rsid w:val="43C71A8C"/>
    <w:rsid w:val="43CA5612"/>
    <w:rsid w:val="43EA7A19"/>
    <w:rsid w:val="43F13662"/>
    <w:rsid w:val="440B4655"/>
    <w:rsid w:val="443C063F"/>
    <w:rsid w:val="4488246F"/>
    <w:rsid w:val="44A758B6"/>
    <w:rsid w:val="44D912AD"/>
    <w:rsid w:val="44E73A68"/>
    <w:rsid w:val="45085EB8"/>
    <w:rsid w:val="4518234C"/>
    <w:rsid w:val="459B379F"/>
    <w:rsid w:val="45C14F68"/>
    <w:rsid w:val="45DE6568"/>
    <w:rsid w:val="46E2577B"/>
    <w:rsid w:val="4712104C"/>
    <w:rsid w:val="47170634"/>
    <w:rsid w:val="47393611"/>
    <w:rsid w:val="473C453F"/>
    <w:rsid w:val="475C2603"/>
    <w:rsid w:val="477974AF"/>
    <w:rsid w:val="47A31D21"/>
    <w:rsid w:val="47A871AF"/>
    <w:rsid w:val="47D66E93"/>
    <w:rsid w:val="47E2508B"/>
    <w:rsid w:val="480225ED"/>
    <w:rsid w:val="480C3B06"/>
    <w:rsid w:val="4814274D"/>
    <w:rsid w:val="483044C2"/>
    <w:rsid w:val="483538A6"/>
    <w:rsid w:val="48380C9E"/>
    <w:rsid w:val="48755A36"/>
    <w:rsid w:val="48BF5427"/>
    <w:rsid w:val="48FE7AAA"/>
    <w:rsid w:val="492F7D2F"/>
    <w:rsid w:val="493403C1"/>
    <w:rsid w:val="493C524B"/>
    <w:rsid w:val="494728D7"/>
    <w:rsid w:val="495318FB"/>
    <w:rsid w:val="496C60E7"/>
    <w:rsid w:val="49CA06F2"/>
    <w:rsid w:val="4A582825"/>
    <w:rsid w:val="4A5B6580"/>
    <w:rsid w:val="4A6C2709"/>
    <w:rsid w:val="4AE42F23"/>
    <w:rsid w:val="4AF55130"/>
    <w:rsid w:val="4B132993"/>
    <w:rsid w:val="4B49143A"/>
    <w:rsid w:val="4B4B3B8E"/>
    <w:rsid w:val="4B680126"/>
    <w:rsid w:val="4B6C4CC7"/>
    <w:rsid w:val="4B7E206E"/>
    <w:rsid w:val="4B907880"/>
    <w:rsid w:val="4B9E53F2"/>
    <w:rsid w:val="4BAB1C93"/>
    <w:rsid w:val="4BE40D01"/>
    <w:rsid w:val="4C0A3185"/>
    <w:rsid w:val="4C143161"/>
    <w:rsid w:val="4C433124"/>
    <w:rsid w:val="4C4D3278"/>
    <w:rsid w:val="4C5C3FE5"/>
    <w:rsid w:val="4C72630D"/>
    <w:rsid w:val="4C897EF4"/>
    <w:rsid w:val="4C934711"/>
    <w:rsid w:val="4CA148A6"/>
    <w:rsid w:val="4CE66248"/>
    <w:rsid w:val="4CF5766A"/>
    <w:rsid w:val="4D4611DC"/>
    <w:rsid w:val="4D465CFD"/>
    <w:rsid w:val="4D6A226D"/>
    <w:rsid w:val="4D9329DF"/>
    <w:rsid w:val="4D96089E"/>
    <w:rsid w:val="4D9E5B3C"/>
    <w:rsid w:val="4DB56DF9"/>
    <w:rsid w:val="4DD711B0"/>
    <w:rsid w:val="4DE12C58"/>
    <w:rsid w:val="4E162EFC"/>
    <w:rsid w:val="4E2B6AB9"/>
    <w:rsid w:val="4E40092B"/>
    <w:rsid w:val="4E5864F2"/>
    <w:rsid w:val="4E5F1942"/>
    <w:rsid w:val="4E602C9F"/>
    <w:rsid w:val="4E7C0F60"/>
    <w:rsid w:val="4EA16178"/>
    <w:rsid w:val="4F037936"/>
    <w:rsid w:val="4F0A6716"/>
    <w:rsid w:val="4F546AC1"/>
    <w:rsid w:val="4F546C22"/>
    <w:rsid w:val="4F606E93"/>
    <w:rsid w:val="4F894099"/>
    <w:rsid w:val="4FB02EF2"/>
    <w:rsid w:val="4FBE179C"/>
    <w:rsid w:val="50033E4B"/>
    <w:rsid w:val="502E69EF"/>
    <w:rsid w:val="50585965"/>
    <w:rsid w:val="509B13E3"/>
    <w:rsid w:val="50AE59F4"/>
    <w:rsid w:val="50E10D65"/>
    <w:rsid w:val="51337B97"/>
    <w:rsid w:val="51A0030F"/>
    <w:rsid w:val="51A831A6"/>
    <w:rsid w:val="51B71431"/>
    <w:rsid w:val="51EC28EC"/>
    <w:rsid w:val="51F34D43"/>
    <w:rsid w:val="52036385"/>
    <w:rsid w:val="52750199"/>
    <w:rsid w:val="528F7C18"/>
    <w:rsid w:val="52B565FA"/>
    <w:rsid w:val="52C6253A"/>
    <w:rsid w:val="52E40325"/>
    <w:rsid w:val="52ED287F"/>
    <w:rsid w:val="52F30316"/>
    <w:rsid w:val="53226C1D"/>
    <w:rsid w:val="533B7DA0"/>
    <w:rsid w:val="53453F10"/>
    <w:rsid w:val="53612D88"/>
    <w:rsid w:val="53810682"/>
    <w:rsid w:val="539D0113"/>
    <w:rsid w:val="53E35A33"/>
    <w:rsid w:val="54035B47"/>
    <w:rsid w:val="54052B60"/>
    <w:rsid w:val="54132C97"/>
    <w:rsid w:val="54145824"/>
    <w:rsid w:val="543326DD"/>
    <w:rsid w:val="54454971"/>
    <w:rsid w:val="544607AB"/>
    <w:rsid w:val="548C1B8A"/>
    <w:rsid w:val="54A63F30"/>
    <w:rsid w:val="54B5148C"/>
    <w:rsid w:val="54CE084A"/>
    <w:rsid w:val="55464D6C"/>
    <w:rsid w:val="55642EBF"/>
    <w:rsid w:val="55690BF5"/>
    <w:rsid w:val="55723D4E"/>
    <w:rsid w:val="55830B1D"/>
    <w:rsid w:val="55BA3189"/>
    <w:rsid w:val="55D50038"/>
    <w:rsid w:val="55DD52E0"/>
    <w:rsid w:val="562808F4"/>
    <w:rsid w:val="563D34CA"/>
    <w:rsid w:val="565453F2"/>
    <w:rsid w:val="565725BB"/>
    <w:rsid w:val="56BA5277"/>
    <w:rsid w:val="56DA32FA"/>
    <w:rsid w:val="56DE2BE5"/>
    <w:rsid w:val="56EA4C31"/>
    <w:rsid w:val="56F95A56"/>
    <w:rsid w:val="5714693E"/>
    <w:rsid w:val="579B2BBB"/>
    <w:rsid w:val="57AE6D93"/>
    <w:rsid w:val="57B51E73"/>
    <w:rsid w:val="57CA0964"/>
    <w:rsid w:val="57D91936"/>
    <w:rsid w:val="580746F5"/>
    <w:rsid w:val="58164938"/>
    <w:rsid w:val="58241202"/>
    <w:rsid w:val="58355509"/>
    <w:rsid w:val="583842EE"/>
    <w:rsid w:val="58571EDE"/>
    <w:rsid w:val="58791F2F"/>
    <w:rsid w:val="58C872CC"/>
    <w:rsid w:val="58E86C35"/>
    <w:rsid w:val="58EA3C57"/>
    <w:rsid w:val="58ED5EA1"/>
    <w:rsid w:val="58F07447"/>
    <w:rsid w:val="58F85DEC"/>
    <w:rsid w:val="592A1E53"/>
    <w:rsid w:val="59405042"/>
    <w:rsid w:val="59452BF2"/>
    <w:rsid w:val="598A738C"/>
    <w:rsid w:val="599D18D2"/>
    <w:rsid w:val="59BA6728"/>
    <w:rsid w:val="5A0A03E3"/>
    <w:rsid w:val="5A1F5D26"/>
    <w:rsid w:val="5A2B2098"/>
    <w:rsid w:val="5AAD1D0F"/>
    <w:rsid w:val="5AB92388"/>
    <w:rsid w:val="5AC643F3"/>
    <w:rsid w:val="5AFC5403"/>
    <w:rsid w:val="5B574989"/>
    <w:rsid w:val="5B9C767C"/>
    <w:rsid w:val="5BAC4ACA"/>
    <w:rsid w:val="5BD92545"/>
    <w:rsid w:val="5BF179E2"/>
    <w:rsid w:val="5C2960DA"/>
    <w:rsid w:val="5C4053B5"/>
    <w:rsid w:val="5C927AC5"/>
    <w:rsid w:val="5C945029"/>
    <w:rsid w:val="5CAD1987"/>
    <w:rsid w:val="5D036E88"/>
    <w:rsid w:val="5D481164"/>
    <w:rsid w:val="5D4B44D1"/>
    <w:rsid w:val="5D536723"/>
    <w:rsid w:val="5DA64068"/>
    <w:rsid w:val="5DC26942"/>
    <w:rsid w:val="5E20206C"/>
    <w:rsid w:val="5E974BBE"/>
    <w:rsid w:val="5E9D5D60"/>
    <w:rsid w:val="5EFB03E4"/>
    <w:rsid w:val="5F3C1128"/>
    <w:rsid w:val="5F5512F2"/>
    <w:rsid w:val="5F6749D9"/>
    <w:rsid w:val="5F695331"/>
    <w:rsid w:val="5F7B2FBE"/>
    <w:rsid w:val="601E2CBC"/>
    <w:rsid w:val="6038327A"/>
    <w:rsid w:val="609858DB"/>
    <w:rsid w:val="61030D45"/>
    <w:rsid w:val="6127416F"/>
    <w:rsid w:val="61345A21"/>
    <w:rsid w:val="613B52CB"/>
    <w:rsid w:val="61714A8E"/>
    <w:rsid w:val="61770667"/>
    <w:rsid w:val="619513A0"/>
    <w:rsid w:val="61AA58D7"/>
    <w:rsid w:val="61B264BF"/>
    <w:rsid w:val="61B615DB"/>
    <w:rsid w:val="61E16AF2"/>
    <w:rsid w:val="61E930F3"/>
    <w:rsid w:val="621A5025"/>
    <w:rsid w:val="622017FD"/>
    <w:rsid w:val="623C57C5"/>
    <w:rsid w:val="625978FB"/>
    <w:rsid w:val="625B7B17"/>
    <w:rsid w:val="627F7E40"/>
    <w:rsid w:val="62CE35D1"/>
    <w:rsid w:val="63197073"/>
    <w:rsid w:val="632D1F57"/>
    <w:rsid w:val="633C45CA"/>
    <w:rsid w:val="634E7E04"/>
    <w:rsid w:val="63524392"/>
    <w:rsid w:val="63612F0B"/>
    <w:rsid w:val="63A023FD"/>
    <w:rsid w:val="63AA5838"/>
    <w:rsid w:val="63D41B47"/>
    <w:rsid w:val="644A1BF1"/>
    <w:rsid w:val="64846130"/>
    <w:rsid w:val="64B50C56"/>
    <w:rsid w:val="655F0063"/>
    <w:rsid w:val="657E1353"/>
    <w:rsid w:val="65A734CE"/>
    <w:rsid w:val="65A97F3A"/>
    <w:rsid w:val="65AB1EC4"/>
    <w:rsid w:val="65D911F8"/>
    <w:rsid w:val="65F938CF"/>
    <w:rsid w:val="65FF4C5D"/>
    <w:rsid w:val="6614042B"/>
    <w:rsid w:val="663124A4"/>
    <w:rsid w:val="66432901"/>
    <w:rsid w:val="664464CF"/>
    <w:rsid w:val="664B1C51"/>
    <w:rsid w:val="66666A8A"/>
    <w:rsid w:val="66774591"/>
    <w:rsid w:val="66E22950"/>
    <w:rsid w:val="66E520A5"/>
    <w:rsid w:val="66F40F6A"/>
    <w:rsid w:val="67042D9A"/>
    <w:rsid w:val="67093AE4"/>
    <w:rsid w:val="671004C9"/>
    <w:rsid w:val="672367EC"/>
    <w:rsid w:val="67596F6A"/>
    <w:rsid w:val="679372F0"/>
    <w:rsid w:val="67960A13"/>
    <w:rsid w:val="67E5290C"/>
    <w:rsid w:val="67FF5D55"/>
    <w:rsid w:val="68461037"/>
    <w:rsid w:val="684728BC"/>
    <w:rsid w:val="68727B54"/>
    <w:rsid w:val="6885720A"/>
    <w:rsid w:val="688D250B"/>
    <w:rsid w:val="68A4747F"/>
    <w:rsid w:val="68CC012C"/>
    <w:rsid w:val="68DB545C"/>
    <w:rsid w:val="68E3252F"/>
    <w:rsid w:val="69083E29"/>
    <w:rsid w:val="690F2DC3"/>
    <w:rsid w:val="69581321"/>
    <w:rsid w:val="69DA2E6B"/>
    <w:rsid w:val="69FF5804"/>
    <w:rsid w:val="6A082FED"/>
    <w:rsid w:val="6A1A5564"/>
    <w:rsid w:val="6A3967C7"/>
    <w:rsid w:val="6A402E56"/>
    <w:rsid w:val="6A7C6D6F"/>
    <w:rsid w:val="6AA83699"/>
    <w:rsid w:val="6ABF0A34"/>
    <w:rsid w:val="6AD4431D"/>
    <w:rsid w:val="6B1B7E43"/>
    <w:rsid w:val="6B231A42"/>
    <w:rsid w:val="6B2D6D2A"/>
    <w:rsid w:val="6B4B04D0"/>
    <w:rsid w:val="6B572E46"/>
    <w:rsid w:val="6B637FDF"/>
    <w:rsid w:val="6B725A52"/>
    <w:rsid w:val="6B8717C4"/>
    <w:rsid w:val="6B972505"/>
    <w:rsid w:val="6B9B47FD"/>
    <w:rsid w:val="6BAF67DE"/>
    <w:rsid w:val="6BCA315E"/>
    <w:rsid w:val="6C0B672C"/>
    <w:rsid w:val="6C1E2F3B"/>
    <w:rsid w:val="6C310AFF"/>
    <w:rsid w:val="6C4D4004"/>
    <w:rsid w:val="6C622F9C"/>
    <w:rsid w:val="6C7652F7"/>
    <w:rsid w:val="6C880DD1"/>
    <w:rsid w:val="6C9048C0"/>
    <w:rsid w:val="6C9854C4"/>
    <w:rsid w:val="6CD461BE"/>
    <w:rsid w:val="6CD60216"/>
    <w:rsid w:val="6CFE25F3"/>
    <w:rsid w:val="6D0125CE"/>
    <w:rsid w:val="6D1B59C0"/>
    <w:rsid w:val="6D6C2BD8"/>
    <w:rsid w:val="6D986DD7"/>
    <w:rsid w:val="6DA31C56"/>
    <w:rsid w:val="6DF64B98"/>
    <w:rsid w:val="6DFF1C9E"/>
    <w:rsid w:val="6E1F43B4"/>
    <w:rsid w:val="6E6252EE"/>
    <w:rsid w:val="6E6733E4"/>
    <w:rsid w:val="6E75646A"/>
    <w:rsid w:val="6E774A93"/>
    <w:rsid w:val="6E94708B"/>
    <w:rsid w:val="6E9F6FDD"/>
    <w:rsid w:val="6EA71918"/>
    <w:rsid w:val="6EAD6C32"/>
    <w:rsid w:val="6ECB392F"/>
    <w:rsid w:val="6ED67B16"/>
    <w:rsid w:val="6ED8604B"/>
    <w:rsid w:val="6F742218"/>
    <w:rsid w:val="6F8E0454"/>
    <w:rsid w:val="6F9B1F55"/>
    <w:rsid w:val="6FBE6B4F"/>
    <w:rsid w:val="70037EA7"/>
    <w:rsid w:val="70197961"/>
    <w:rsid w:val="704C0204"/>
    <w:rsid w:val="704E2A69"/>
    <w:rsid w:val="708D3537"/>
    <w:rsid w:val="70D02392"/>
    <w:rsid w:val="70DC21BD"/>
    <w:rsid w:val="711F2F44"/>
    <w:rsid w:val="713A4BCA"/>
    <w:rsid w:val="715C074A"/>
    <w:rsid w:val="71A0414B"/>
    <w:rsid w:val="71A36A8A"/>
    <w:rsid w:val="71AF64FB"/>
    <w:rsid w:val="71B66E3D"/>
    <w:rsid w:val="71E74F23"/>
    <w:rsid w:val="71F31B1A"/>
    <w:rsid w:val="71F910B9"/>
    <w:rsid w:val="72253C9E"/>
    <w:rsid w:val="72C963D7"/>
    <w:rsid w:val="73317BF9"/>
    <w:rsid w:val="7399049F"/>
    <w:rsid w:val="73A51066"/>
    <w:rsid w:val="73B2572E"/>
    <w:rsid w:val="73B5767C"/>
    <w:rsid w:val="73CD24CB"/>
    <w:rsid w:val="73DE2B06"/>
    <w:rsid w:val="74122757"/>
    <w:rsid w:val="7434249C"/>
    <w:rsid w:val="745E567C"/>
    <w:rsid w:val="746876E9"/>
    <w:rsid w:val="74895648"/>
    <w:rsid w:val="74C04E12"/>
    <w:rsid w:val="74DC2283"/>
    <w:rsid w:val="750051D8"/>
    <w:rsid w:val="7546596B"/>
    <w:rsid w:val="754F6A1D"/>
    <w:rsid w:val="75700970"/>
    <w:rsid w:val="75722D56"/>
    <w:rsid w:val="75826260"/>
    <w:rsid w:val="75A07DA5"/>
    <w:rsid w:val="75D40748"/>
    <w:rsid w:val="75E9513C"/>
    <w:rsid w:val="75F47E54"/>
    <w:rsid w:val="7693673A"/>
    <w:rsid w:val="76AA29C3"/>
    <w:rsid w:val="76E97A53"/>
    <w:rsid w:val="76EA0153"/>
    <w:rsid w:val="77092768"/>
    <w:rsid w:val="772C33D8"/>
    <w:rsid w:val="775845F6"/>
    <w:rsid w:val="77A15C14"/>
    <w:rsid w:val="77A35C25"/>
    <w:rsid w:val="77B05FA6"/>
    <w:rsid w:val="77DA3008"/>
    <w:rsid w:val="77F51A1C"/>
    <w:rsid w:val="77F92FB3"/>
    <w:rsid w:val="783C6B96"/>
    <w:rsid w:val="784449F5"/>
    <w:rsid w:val="78505750"/>
    <w:rsid w:val="787B63C5"/>
    <w:rsid w:val="78915BE9"/>
    <w:rsid w:val="789B0816"/>
    <w:rsid w:val="78DB3420"/>
    <w:rsid w:val="78E5308A"/>
    <w:rsid w:val="78FF40AA"/>
    <w:rsid w:val="79351A60"/>
    <w:rsid w:val="793E4C60"/>
    <w:rsid w:val="79A902B2"/>
    <w:rsid w:val="79CC570C"/>
    <w:rsid w:val="79D31BA3"/>
    <w:rsid w:val="79E74E9F"/>
    <w:rsid w:val="7A271311"/>
    <w:rsid w:val="7A2A1FCC"/>
    <w:rsid w:val="7A3D3698"/>
    <w:rsid w:val="7A9058D3"/>
    <w:rsid w:val="7A9425AD"/>
    <w:rsid w:val="7AAC0AB8"/>
    <w:rsid w:val="7AD6217D"/>
    <w:rsid w:val="7AE22F2E"/>
    <w:rsid w:val="7AEA5A84"/>
    <w:rsid w:val="7B012139"/>
    <w:rsid w:val="7B023201"/>
    <w:rsid w:val="7B0801A0"/>
    <w:rsid w:val="7B09415C"/>
    <w:rsid w:val="7B29556A"/>
    <w:rsid w:val="7B7610C6"/>
    <w:rsid w:val="7BBD51BD"/>
    <w:rsid w:val="7BD571AE"/>
    <w:rsid w:val="7BF65F94"/>
    <w:rsid w:val="7C4D1424"/>
    <w:rsid w:val="7C507B69"/>
    <w:rsid w:val="7C5D3F46"/>
    <w:rsid w:val="7C7C39A0"/>
    <w:rsid w:val="7CA3413D"/>
    <w:rsid w:val="7CBB7EA9"/>
    <w:rsid w:val="7CFB07D3"/>
    <w:rsid w:val="7D514328"/>
    <w:rsid w:val="7D60373C"/>
    <w:rsid w:val="7D79524D"/>
    <w:rsid w:val="7D8F513E"/>
    <w:rsid w:val="7D95414D"/>
    <w:rsid w:val="7DBC1313"/>
    <w:rsid w:val="7DD33A81"/>
    <w:rsid w:val="7E0E7B3A"/>
    <w:rsid w:val="7E1E0E39"/>
    <w:rsid w:val="7E2C3CBE"/>
    <w:rsid w:val="7E306838"/>
    <w:rsid w:val="7E396B79"/>
    <w:rsid w:val="7E5468B5"/>
    <w:rsid w:val="7E580E65"/>
    <w:rsid w:val="7E7C2199"/>
    <w:rsid w:val="7E81225C"/>
    <w:rsid w:val="7E913D70"/>
    <w:rsid w:val="7E92171B"/>
    <w:rsid w:val="7E9366CB"/>
    <w:rsid w:val="7EE54599"/>
    <w:rsid w:val="7EF50554"/>
    <w:rsid w:val="7F393237"/>
    <w:rsid w:val="7F616534"/>
    <w:rsid w:val="7F721ECE"/>
    <w:rsid w:val="7FAE4E50"/>
    <w:rsid w:val="7FC629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宋体" w:eastAsia="宋体" w:cs="Times New Roman"/>
      <w:kern w:val="2"/>
      <w:sz w:val="24"/>
      <w:szCs w:val="24"/>
      <w:lang w:val="en-US" w:eastAsia="zh-CN" w:bidi="ar-SA"/>
    </w:rPr>
  </w:style>
  <w:style w:type="paragraph" w:styleId="4">
    <w:name w:val="heading 1"/>
    <w:basedOn w:val="1"/>
    <w:next w:val="1"/>
    <w:link w:val="44"/>
    <w:autoRedefine/>
    <w:qFormat/>
    <w:uiPriority w:val="99"/>
    <w:pPr>
      <w:keepNext/>
      <w:jc w:val="center"/>
      <w:outlineLvl w:val="0"/>
    </w:pPr>
    <w:rPr>
      <w:rFonts w:ascii="楷体_GB2312" w:eastAsia="楷体_GB2312"/>
      <w:sz w:val="28"/>
      <w:szCs w:val="28"/>
    </w:rPr>
  </w:style>
  <w:style w:type="paragraph" w:styleId="5">
    <w:name w:val="heading 2"/>
    <w:basedOn w:val="1"/>
    <w:next w:val="1"/>
    <w:qFormat/>
    <w:locked/>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45"/>
    <w:qFormat/>
    <w:uiPriority w:val="99"/>
    <w:pPr>
      <w:keepNext/>
      <w:keepLines/>
      <w:spacing w:before="260" w:after="260" w:line="416" w:lineRule="auto"/>
      <w:outlineLvl w:val="2"/>
    </w:pPr>
    <w:rPr>
      <w:b/>
      <w:bCs/>
      <w:sz w:val="32"/>
      <w:szCs w:val="32"/>
    </w:rPr>
  </w:style>
  <w:style w:type="paragraph" w:styleId="7">
    <w:name w:val="heading 4"/>
    <w:basedOn w:val="1"/>
    <w:next w:val="1"/>
    <w:autoRedefine/>
    <w:qFormat/>
    <w:locked/>
    <w:uiPriority w:val="99"/>
    <w:pPr>
      <w:keepNext/>
      <w:keepLines/>
      <w:spacing w:before="280" w:after="290" w:line="374"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qFormat/>
    <w:uiPriority w:val="99"/>
    <w:pPr>
      <w:ind w:firstLine="420" w:firstLineChars="200"/>
    </w:pPr>
  </w:style>
  <w:style w:type="paragraph" w:styleId="3">
    <w:name w:val="Body Text Indent"/>
    <w:basedOn w:val="1"/>
    <w:link w:val="47"/>
    <w:autoRedefine/>
    <w:qFormat/>
    <w:uiPriority w:val="99"/>
    <w:pPr>
      <w:spacing w:after="120"/>
      <w:ind w:left="420" w:leftChars="200"/>
    </w:pPr>
  </w:style>
  <w:style w:type="paragraph" w:styleId="8">
    <w:name w:val="Normal Indent"/>
    <w:basedOn w:val="1"/>
    <w:qFormat/>
    <w:uiPriority w:val="99"/>
    <w:pPr>
      <w:ind w:firstLine="420"/>
    </w:pPr>
  </w:style>
  <w:style w:type="paragraph" w:styleId="9">
    <w:name w:val="toa heading"/>
    <w:basedOn w:val="1"/>
    <w:next w:val="1"/>
    <w:autoRedefine/>
    <w:unhideWhenUsed/>
    <w:qFormat/>
    <w:uiPriority w:val="99"/>
    <w:pPr>
      <w:spacing w:before="120"/>
    </w:pPr>
    <w:rPr>
      <w:rFonts w:ascii="Cambria" w:hAnsi="Cambria"/>
    </w:rPr>
  </w:style>
  <w:style w:type="paragraph" w:styleId="10">
    <w:name w:val="annotation text"/>
    <w:basedOn w:val="1"/>
    <w:link w:val="70"/>
    <w:autoRedefine/>
    <w:semiHidden/>
    <w:unhideWhenUsed/>
    <w:qFormat/>
    <w:uiPriority w:val="99"/>
    <w:pPr>
      <w:jc w:val="left"/>
    </w:pPr>
  </w:style>
  <w:style w:type="paragraph" w:styleId="11">
    <w:name w:val="Body Text"/>
    <w:basedOn w:val="1"/>
    <w:next w:val="1"/>
    <w:link w:val="46"/>
    <w:autoRedefine/>
    <w:qFormat/>
    <w:uiPriority w:val="99"/>
    <w:pPr>
      <w:spacing w:after="120"/>
    </w:pPr>
  </w:style>
  <w:style w:type="paragraph" w:styleId="12">
    <w:name w:val="Block Text"/>
    <w:basedOn w:val="1"/>
    <w:autoRedefine/>
    <w:qFormat/>
    <w:uiPriority w:val="99"/>
    <w:pPr>
      <w:spacing w:after="120"/>
      <w:ind w:left="1440" w:leftChars="700" w:right="1440" w:rightChars="700"/>
      <w:jc w:val="left"/>
    </w:pPr>
  </w:style>
  <w:style w:type="paragraph" w:styleId="13">
    <w:name w:val="index 4"/>
    <w:basedOn w:val="1"/>
    <w:next w:val="1"/>
    <w:autoRedefine/>
    <w:qFormat/>
    <w:uiPriority w:val="99"/>
    <w:pPr>
      <w:ind w:left="600" w:leftChars="600"/>
    </w:pPr>
  </w:style>
  <w:style w:type="paragraph" w:styleId="14">
    <w:name w:val="Plain Text"/>
    <w:basedOn w:val="1"/>
    <w:link w:val="49"/>
    <w:qFormat/>
    <w:uiPriority w:val="99"/>
    <w:rPr>
      <w:rFonts w:ascii="宋体" w:hAnsi="Courier New" w:cs="Courier New"/>
      <w:szCs w:val="21"/>
    </w:rPr>
  </w:style>
  <w:style w:type="paragraph" w:styleId="15">
    <w:name w:val="Date"/>
    <w:basedOn w:val="1"/>
    <w:next w:val="1"/>
    <w:link w:val="50"/>
    <w:qFormat/>
    <w:uiPriority w:val="99"/>
  </w:style>
  <w:style w:type="paragraph" w:styleId="16">
    <w:name w:val="Balloon Text"/>
    <w:basedOn w:val="1"/>
    <w:link w:val="51"/>
    <w:semiHidden/>
    <w:qFormat/>
    <w:uiPriority w:val="99"/>
    <w:rPr>
      <w:sz w:val="18"/>
      <w:szCs w:val="18"/>
    </w:rPr>
  </w:style>
  <w:style w:type="paragraph" w:styleId="17">
    <w:name w:val="footer"/>
    <w:basedOn w:val="1"/>
    <w:link w:val="52"/>
    <w:qFormat/>
    <w:uiPriority w:val="99"/>
    <w:pPr>
      <w:tabs>
        <w:tab w:val="center" w:pos="4153"/>
        <w:tab w:val="right" w:pos="8306"/>
      </w:tabs>
      <w:snapToGrid w:val="0"/>
      <w:jc w:val="left"/>
    </w:pPr>
    <w:rPr>
      <w:sz w:val="18"/>
      <w:szCs w:val="18"/>
    </w:rPr>
  </w:style>
  <w:style w:type="paragraph" w:styleId="18">
    <w:name w:val="envelope return"/>
    <w:basedOn w:val="1"/>
    <w:autoRedefine/>
    <w:qFormat/>
    <w:uiPriority w:val="99"/>
    <w:pPr>
      <w:snapToGrid w:val="0"/>
    </w:pPr>
    <w:rPr>
      <w:rFonts w:ascii="Arial" w:hAnsi="Arial"/>
    </w:rPr>
  </w:style>
  <w:style w:type="paragraph" w:styleId="19">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b/>
      <w:bCs/>
      <w:caps/>
      <w:sz w:val="20"/>
      <w:szCs w:val="20"/>
    </w:rPr>
  </w:style>
  <w:style w:type="paragraph" w:styleId="21">
    <w:name w:val="Normal (Web)"/>
    <w:basedOn w:val="1"/>
    <w:semiHidden/>
    <w:unhideWhenUsed/>
    <w:qFormat/>
    <w:uiPriority w:val="99"/>
    <w:pPr>
      <w:jc w:val="left"/>
    </w:pPr>
    <w:rPr>
      <w:kern w:val="0"/>
    </w:rPr>
  </w:style>
  <w:style w:type="paragraph" w:styleId="22">
    <w:name w:val="annotation subject"/>
    <w:basedOn w:val="10"/>
    <w:next w:val="10"/>
    <w:link w:val="71"/>
    <w:autoRedefine/>
    <w:semiHidden/>
    <w:unhideWhenUsed/>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26">
    <w:name w:val="page number"/>
    <w:basedOn w:val="25"/>
    <w:qFormat/>
    <w:uiPriority w:val="99"/>
    <w:rPr>
      <w:rFonts w:cs="Times New Roman"/>
    </w:rPr>
  </w:style>
  <w:style w:type="character" w:styleId="27">
    <w:name w:val="FollowedHyperlink"/>
    <w:basedOn w:val="25"/>
    <w:autoRedefine/>
    <w:semiHidden/>
    <w:unhideWhenUsed/>
    <w:qFormat/>
    <w:uiPriority w:val="99"/>
    <w:rPr>
      <w:color w:val="800080"/>
      <w:u w:val="none"/>
    </w:rPr>
  </w:style>
  <w:style w:type="character" w:styleId="28">
    <w:name w:val="HTML Definition"/>
    <w:basedOn w:val="25"/>
    <w:semiHidden/>
    <w:unhideWhenUsed/>
    <w:qFormat/>
    <w:uiPriority w:val="99"/>
  </w:style>
  <w:style w:type="character" w:styleId="29">
    <w:name w:val="HTML Typewriter"/>
    <w:basedOn w:val="25"/>
    <w:semiHidden/>
    <w:unhideWhenUsed/>
    <w:qFormat/>
    <w:uiPriority w:val="99"/>
    <w:rPr>
      <w:rFonts w:ascii="monospace" w:hAnsi="monospace" w:eastAsia="monospace" w:cs="monospace"/>
      <w:sz w:val="20"/>
    </w:rPr>
  </w:style>
  <w:style w:type="character" w:styleId="30">
    <w:name w:val="HTML Acronym"/>
    <w:basedOn w:val="25"/>
    <w:semiHidden/>
    <w:unhideWhenUsed/>
    <w:qFormat/>
    <w:uiPriority w:val="99"/>
  </w:style>
  <w:style w:type="character" w:styleId="31">
    <w:name w:val="HTML Variable"/>
    <w:basedOn w:val="25"/>
    <w:semiHidden/>
    <w:unhideWhenUsed/>
    <w:qFormat/>
    <w:uiPriority w:val="99"/>
  </w:style>
  <w:style w:type="character" w:styleId="32">
    <w:name w:val="Hyperlink"/>
    <w:basedOn w:val="25"/>
    <w:autoRedefine/>
    <w:qFormat/>
    <w:uiPriority w:val="99"/>
    <w:rPr>
      <w:rFonts w:cs="Times New Roman"/>
      <w:color w:val="0000FF"/>
      <w:u w:val="single"/>
    </w:rPr>
  </w:style>
  <w:style w:type="character" w:styleId="33">
    <w:name w:val="HTML Code"/>
    <w:basedOn w:val="25"/>
    <w:semiHidden/>
    <w:unhideWhenUsed/>
    <w:qFormat/>
    <w:uiPriority w:val="99"/>
    <w:rPr>
      <w:rFonts w:hint="default" w:ascii="monospace" w:hAnsi="monospace" w:eastAsia="monospace" w:cs="monospace"/>
      <w:sz w:val="20"/>
    </w:rPr>
  </w:style>
  <w:style w:type="character" w:styleId="34">
    <w:name w:val="annotation reference"/>
    <w:basedOn w:val="25"/>
    <w:semiHidden/>
    <w:unhideWhenUsed/>
    <w:qFormat/>
    <w:uiPriority w:val="99"/>
    <w:rPr>
      <w:sz w:val="21"/>
      <w:szCs w:val="21"/>
    </w:rPr>
  </w:style>
  <w:style w:type="character" w:styleId="35">
    <w:name w:val="HTML Cite"/>
    <w:basedOn w:val="25"/>
    <w:semiHidden/>
    <w:unhideWhenUsed/>
    <w:qFormat/>
    <w:uiPriority w:val="99"/>
  </w:style>
  <w:style w:type="character" w:styleId="36">
    <w:name w:val="HTML Keyboard"/>
    <w:basedOn w:val="25"/>
    <w:semiHidden/>
    <w:unhideWhenUsed/>
    <w:qFormat/>
    <w:uiPriority w:val="99"/>
    <w:rPr>
      <w:rFonts w:hint="default" w:ascii="monospace" w:hAnsi="monospace" w:eastAsia="monospace" w:cs="monospace"/>
      <w:sz w:val="20"/>
    </w:rPr>
  </w:style>
  <w:style w:type="character" w:styleId="37">
    <w:name w:val="HTML Sample"/>
    <w:basedOn w:val="25"/>
    <w:autoRedefine/>
    <w:semiHidden/>
    <w:unhideWhenUsed/>
    <w:qFormat/>
    <w:uiPriority w:val="99"/>
    <w:rPr>
      <w:rFonts w:hint="default" w:ascii="monospace" w:hAnsi="monospace" w:eastAsia="monospace" w:cs="monospace"/>
    </w:rPr>
  </w:style>
  <w:style w:type="paragraph" w:customStyle="1" w:styleId="38">
    <w:name w:val="列表段落1"/>
    <w:basedOn w:val="1"/>
    <w:autoRedefine/>
    <w:qFormat/>
    <w:uiPriority w:val="34"/>
    <w:pPr>
      <w:ind w:firstLine="420"/>
    </w:pPr>
  </w:style>
  <w:style w:type="paragraph" w:customStyle="1" w:styleId="39">
    <w:name w:val="Default"/>
    <w:autoRedefine/>
    <w:qFormat/>
    <w:uiPriority w:val="99"/>
    <w:pPr>
      <w:widowControl w:val="0"/>
      <w:autoSpaceDE w:val="0"/>
      <w:autoSpaceDN w:val="0"/>
      <w:adjustRightInd w:val="0"/>
    </w:pPr>
    <w:rPr>
      <w:rFonts w:ascii="Times New Roman" w:hAnsi="Times New Roman" w:eastAsia="宋体" w:cs="Times New Roman"/>
      <w:color w:val="000000"/>
      <w:sz w:val="24"/>
      <w:lang w:val="en-US" w:eastAsia="zh-CN" w:bidi="ar-SA"/>
    </w:rPr>
  </w:style>
  <w:style w:type="paragraph" w:customStyle="1" w:styleId="40">
    <w:name w:val="首行缩进"/>
    <w:basedOn w:val="1"/>
    <w:qFormat/>
    <w:uiPriority w:val="0"/>
    <w:pPr>
      <w:spacing w:line="360" w:lineRule="auto"/>
      <w:ind w:firstLine="480" w:firstLineChars="200"/>
    </w:pPr>
  </w:style>
  <w:style w:type="paragraph" w:customStyle="1" w:styleId="41">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2">
    <w:name w:val="样式 首行缩进:  2 字符"/>
    <w:basedOn w:val="1"/>
    <w:qFormat/>
    <w:uiPriority w:val="0"/>
    <w:pPr>
      <w:spacing w:line="360" w:lineRule="auto"/>
      <w:ind w:firstLine="560" w:firstLineChars="200"/>
    </w:pPr>
    <w:rPr>
      <w:rFonts w:ascii="宋体" w:eastAsia="仿宋_GB2312" w:cs="宋体"/>
      <w:szCs w:val="20"/>
    </w:rPr>
  </w:style>
  <w:style w:type="paragraph" w:customStyle="1" w:styleId="43">
    <w:name w:val="正文（缩进）"/>
    <w:basedOn w:val="1"/>
    <w:qFormat/>
    <w:uiPriority w:val="99"/>
    <w:pPr>
      <w:spacing w:before="156" w:after="156"/>
      <w:ind w:firstLine="480" w:firstLineChars="200"/>
    </w:pPr>
    <w:rPr>
      <w:rFonts w:hAnsi="Times New Roman"/>
      <w:szCs w:val="21"/>
    </w:rPr>
  </w:style>
  <w:style w:type="character" w:customStyle="1" w:styleId="44">
    <w:name w:val="标题 1 Char"/>
    <w:basedOn w:val="25"/>
    <w:link w:val="4"/>
    <w:qFormat/>
    <w:locked/>
    <w:uiPriority w:val="99"/>
    <w:rPr>
      <w:rFonts w:ascii="楷体_GB2312" w:hAnsi="Calibri" w:eastAsia="楷体_GB2312" w:cs="Times New Roman"/>
      <w:sz w:val="28"/>
      <w:szCs w:val="28"/>
    </w:rPr>
  </w:style>
  <w:style w:type="character" w:customStyle="1" w:styleId="45">
    <w:name w:val="标题 3 Char"/>
    <w:basedOn w:val="25"/>
    <w:link w:val="6"/>
    <w:semiHidden/>
    <w:qFormat/>
    <w:locked/>
    <w:uiPriority w:val="99"/>
    <w:rPr>
      <w:rFonts w:cs="Times New Roman"/>
      <w:b/>
      <w:bCs/>
      <w:sz w:val="32"/>
      <w:szCs w:val="32"/>
    </w:rPr>
  </w:style>
  <w:style w:type="character" w:customStyle="1" w:styleId="46">
    <w:name w:val="正文文本 Char"/>
    <w:basedOn w:val="25"/>
    <w:link w:val="11"/>
    <w:semiHidden/>
    <w:qFormat/>
    <w:uiPriority w:val="99"/>
    <w:rPr>
      <w:rFonts w:ascii="Calibri" w:hAnsi="Calibri"/>
    </w:rPr>
  </w:style>
  <w:style w:type="character" w:customStyle="1" w:styleId="47">
    <w:name w:val="正文文本缩进 Char"/>
    <w:basedOn w:val="25"/>
    <w:link w:val="3"/>
    <w:semiHidden/>
    <w:qFormat/>
    <w:uiPriority w:val="99"/>
    <w:rPr>
      <w:rFonts w:ascii="Calibri" w:hAnsi="Calibri"/>
    </w:rPr>
  </w:style>
  <w:style w:type="character" w:customStyle="1" w:styleId="48">
    <w:name w:val="正文首行缩进 2 Char"/>
    <w:basedOn w:val="47"/>
    <w:link w:val="2"/>
    <w:semiHidden/>
    <w:qFormat/>
    <w:uiPriority w:val="99"/>
    <w:rPr>
      <w:rFonts w:ascii="Calibri" w:hAnsi="Calibri"/>
    </w:rPr>
  </w:style>
  <w:style w:type="character" w:customStyle="1" w:styleId="49">
    <w:name w:val="纯文本 Char"/>
    <w:basedOn w:val="25"/>
    <w:link w:val="14"/>
    <w:qFormat/>
    <w:locked/>
    <w:uiPriority w:val="99"/>
    <w:rPr>
      <w:rFonts w:ascii="宋体" w:hAnsi="Courier New" w:eastAsia="宋体" w:cs="Courier New"/>
      <w:sz w:val="21"/>
      <w:szCs w:val="21"/>
    </w:rPr>
  </w:style>
  <w:style w:type="character" w:customStyle="1" w:styleId="50">
    <w:name w:val="日期 Char"/>
    <w:basedOn w:val="25"/>
    <w:link w:val="15"/>
    <w:qFormat/>
    <w:locked/>
    <w:uiPriority w:val="99"/>
    <w:rPr>
      <w:rFonts w:ascii="Calibri" w:hAnsi="Calibri" w:eastAsia="宋体" w:cs="Times New Roman"/>
      <w:sz w:val="24"/>
      <w:szCs w:val="24"/>
    </w:rPr>
  </w:style>
  <w:style w:type="character" w:customStyle="1" w:styleId="51">
    <w:name w:val="批注框文本 Char"/>
    <w:basedOn w:val="25"/>
    <w:link w:val="16"/>
    <w:semiHidden/>
    <w:qFormat/>
    <w:locked/>
    <w:uiPriority w:val="99"/>
    <w:rPr>
      <w:rFonts w:cs="Times New Roman"/>
      <w:sz w:val="18"/>
      <w:szCs w:val="18"/>
    </w:rPr>
  </w:style>
  <w:style w:type="character" w:customStyle="1" w:styleId="52">
    <w:name w:val="页脚 Char"/>
    <w:basedOn w:val="25"/>
    <w:link w:val="17"/>
    <w:qFormat/>
    <w:locked/>
    <w:uiPriority w:val="99"/>
    <w:rPr>
      <w:rFonts w:cs="Times New Roman"/>
      <w:sz w:val="18"/>
      <w:szCs w:val="18"/>
    </w:rPr>
  </w:style>
  <w:style w:type="character" w:customStyle="1" w:styleId="53">
    <w:name w:val="页眉 Char"/>
    <w:basedOn w:val="25"/>
    <w:link w:val="19"/>
    <w:autoRedefine/>
    <w:qFormat/>
    <w:locked/>
    <w:uiPriority w:val="99"/>
    <w:rPr>
      <w:rFonts w:cs="Times New Roman"/>
      <w:sz w:val="18"/>
      <w:szCs w:val="18"/>
    </w:rPr>
  </w:style>
  <w:style w:type="paragraph" w:customStyle="1" w:styleId="54">
    <w:name w:val="一级目录"/>
    <w:next w:val="1"/>
    <w:autoRedefine/>
    <w:qFormat/>
    <w:uiPriority w:val="99"/>
    <w:pPr>
      <w:spacing w:afterLines="100"/>
      <w:jc w:val="center"/>
      <w:outlineLvl w:val="0"/>
    </w:pPr>
    <w:rPr>
      <w:rFonts w:ascii="黑体" w:hAnsi="Calibri" w:eastAsia="黑体" w:cs="Times New Roman"/>
      <w:b/>
      <w:kern w:val="2"/>
      <w:sz w:val="44"/>
      <w:szCs w:val="44"/>
      <w:lang w:val="en-US" w:eastAsia="zh-CN" w:bidi="ar-SA"/>
    </w:rPr>
  </w:style>
  <w:style w:type="paragraph" w:customStyle="1" w:styleId="55">
    <w:name w:val="普通正文"/>
    <w:basedOn w:val="1"/>
    <w:qFormat/>
    <w:uiPriority w:val="99"/>
    <w:pPr>
      <w:adjustRightInd w:val="0"/>
      <w:spacing w:before="120" w:after="120" w:line="360" w:lineRule="auto"/>
      <w:ind w:firstLine="480"/>
      <w:jc w:val="left"/>
      <w:textAlignment w:val="baseline"/>
    </w:pPr>
    <w:rPr>
      <w:rFonts w:ascii="Arial" w:hAnsi="Arial"/>
      <w:kern w:val="0"/>
    </w:rPr>
  </w:style>
  <w:style w:type="paragraph" w:customStyle="1" w:styleId="56">
    <w:name w:val="正文缩进2"/>
    <w:basedOn w:val="1"/>
    <w:qFormat/>
    <w:uiPriority w:val="99"/>
    <w:pPr>
      <w:spacing w:before="50"/>
      <w:ind w:left="200" w:firstLine="420" w:firstLineChars="200"/>
    </w:pPr>
  </w:style>
  <w:style w:type="character" w:customStyle="1" w:styleId="57">
    <w:name w:val="NormalCharacter"/>
    <w:semiHidden/>
    <w:qFormat/>
    <w:uiPriority w:val="99"/>
    <w:rPr>
      <w:rFonts w:ascii="宋体" w:hAnsi="宋体" w:eastAsia="宋体"/>
      <w:sz w:val="22"/>
      <w:lang w:val="zh-CN" w:eastAsia="zh-CN"/>
    </w:rPr>
  </w:style>
  <w:style w:type="paragraph" w:customStyle="1" w:styleId="58">
    <w:name w:val="正文缩进2格"/>
    <w:basedOn w:val="1"/>
    <w:qFormat/>
    <w:uiPriority w:val="99"/>
    <w:pPr>
      <w:spacing w:line="600" w:lineRule="exact"/>
      <w:ind w:firstLine="639" w:firstLineChars="206"/>
    </w:pPr>
    <w:rPr>
      <w:rFonts w:ascii="仿宋_GB2312" w:eastAsia="仿宋_GB2312"/>
      <w:kern w:val="0"/>
      <w:sz w:val="31"/>
      <w:szCs w:val="28"/>
    </w:rPr>
  </w:style>
  <w:style w:type="paragraph" w:styleId="59">
    <w:name w:val="List Paragraph"/>
    <w:basedOn w:val="1"/>
    <w:qFormat/>
    <w:uiPriority w:val="99"/>
    <w:pPr>
      <w:ind w:firstLine="420" w:firstLineChars="200"/>
    </w:pPr>
  </w:style>
  <w:style w:type="paragraph" w:customStyle="1" w:styleId="60">
    <w:name w:val="Table Paragraph"/>
    <w:basedOn w:val="1"/>
    <w:qFormat/>
    <w:uiPriority w:val="99"/>
    <w:pPr>
      <w:autoSpaceDE w:val="0"/>
      <w:autoSpaceDN w:val="0"/>
      <w:jc w:val="left"/>
    </w:pPr>
    <w:rPr>
      <w:rFonts w:ascii="宋体" w:cs="宋体"/>
      <w:kern w:val="0"/>
      <w:sz w:val="22"/>
      <w:lang w:val="zh-CN"/>
    </w:rPr>
  </w:style>
  <w:style w:type="paragraph" w:customStyle="1" w:styleId="61">
    <w:name w:val="二级目录"/>
    <w:next w:val="1"/>
    <w:qFormat/>
    <w:uiPriority w:val="99"/>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62">
    <w:name w:val="flType"/>
    <w:basedOn w:val="1"/>
    <w:autoRedefine/>
    <w:qFormat/>
    <w:uiPriority w:val="99"/>
    <w:pPr>
      <w:adjustRightInd w:val="0"/>
      <w:spacing w:after="284" w:line="113" w:lineRule="atLeast"/>
      <w:jc w:val="center"/>
      <w:textAlignment w:val="baseline"/>
    </w:pPr>
    <w:rPr>
      <w:kern w:val="0"/>
      <w:szCs w:val="20"/>
    </w:rPr>
  </w:style>
  <w:style w:type="paragraph" w:customStyle="1" w:styleId="63">
    <w:name w:val="正文首行缩进2字符"/>
    <w:basedOn w:val="1"/>
    <w:qFormat/>
    <w:uiPriority w:val="99"/>
    <w:pPr>
      <w:spacing w:before="60" w:after="60" w:line="360" w:lineRule="auto"/>
      <w:ind w:firstLine="482"/>
      <w:jc w:val="left"/>
    </w:pPr>
    <w:rPr>
      <w:rFonts w:hAnsi="Times New Roman"/>
      <w:iCs/>
      <w:kern w:val="0"/>
    </w:rPr>
  </w:style>
  <w:style w:type="character" w:customStyle="1" w:styleId="64">
    <w:name w:val="UserStyle_2"/>
    <w:autoRedefine/>
    <w:qFormat/>
    <w:uiPriority w:val="0"/>
  </w:style>
  <w:style w:type="character" w:customStyle="1" w:styleId="65">
    <w:name w:val="first-child"/>
    <w:basedOn w:val="25"/>
    <w:qFormat/>
    <w:uiPriority w:val="0"/>
  </w:style>
  <w:style w:type="character" w:customStyle="1" w:styleId="66">
    <w:name w:val="hover3"/>
    <w:basedOn w:val="25"/>
    <w:qFormat/>
    <w:uiPriority w:val="0"/>
    <w:rPr>
      <w:color w:val="FFFFFF"/>
    </w:rPr>
  </w:style>
  <w:style w:type="character" w:customStyle="1" w:styleId="67">
    <w:name w:val="hover4"/>
    <w:basedOn w:val="25"/>
    <w:qFormat/>
    <w:uiPriority w:val="0"/>
    <w:rPr>
      <w:color w:val="5FB878"/>
    </w:rPr>
  </w:style>
  <w:style w:type="character" w:customStyle="1" w:styleId="68">
    <w:name w:val="hover5"/>
    <w:basedOn w:val="25"/>
    <w:qFormat/>
    <w:uiPriority w:val="0"/>
    <w:rPr>
      <w:color w:val="5FB878"/>
    </w:rPr>
  </w:style>
  <w:style w:type="character" w:customStyle="1" w:styleId="69">
    <w:name w:val="layui-this"/>
    <w:basedOn w:val="25"/>
    <w:qFormat/>
    <w:uiPriority w:val="0"/>
    <w:rPr>
      <w:bdr w:val="single" w:color="EEEEEE" w:sz="4" w:space="0"/>
      <w:shd w:val="clear" w:color="auto" w:fill="FFFFFF"/>
    </w:rPr>
  </w:style>
  <w:style w:type="character" w:customStyle="1" w:styleId="70">
    <w:name w:val="批注文字 Char"/>
    <w:basedOn w:val="25"/>
    <w:link w:val="10"/>
    <w:semiHidden/>
    <w:qFormat/>
    <w:uiPriority w:val="99"/>
    <w:rPr>
      <w:rFonts w:ascii="Calibri" w:hAnsi="Calibri"/>
      <w:kern w:val="2"/>
      <w:sz w:val="21"/>
      <w:szCs w:val="22"/>
    </w:rPr>
  </w:style>
  <w:style w:type="character" w:customStyle="1" w:styleId="71">
    <w:name w:val="批注主题 Char"/>
    <w:basedOn w:val="70"/>
    <w:link w:val="22"/>
    <w:semiHidden/>
    <w:qFormat/>
    <w:uiPriority w:val="99"/>
    <w:rPr>
      <w:rFonts w:ascii="Calibri" w:hAnsi="Calibri"/>
      <w:b/>
      <w:bCs/>
      <w:kern w:val="2"/>
      <w:sz w:val="21"/>
      <w:szCs w:val="22"/>
    </w:rPr>
  </w:style>
  <w:style w:type="paragraph" w:customStyle="1" w:styleId="72">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73">
    <w:name w:val="UserStyle_1"/>
    <w:qFormat/>
    <w:uiPriority w:val="0"/>
  </w:style>
  <w:style w:type="paragraph" w:customStyle="1" w:styleId="74">
    <w:name w:val="标题2"/>
    <w:basedOn w:val="4"/>
    <w:autoRedefine/>
    <w:qFormat/>
    <w:uiPriority w:val="0"/>
    <w:rPr>
      <w:color w:val="000000"/>
      <w:sz w:val="32"/>
    </w:rPr>
  </w:style>
  <w:style w:type="character" w:customStyle="1" w:styleId="75">
    <w:name w:val="font31"/>
    <w:basedOn w:val="25"/>
    <w:autoRedefine/>
    <w:qFormat/>
    <w:uiPriority w:val="0"/>
    <w:rPr>
      <w:rFonts w:hint="eastAsia" w:ascii="Arial Unicode MS" w:hAnsi="Arial Unicode MS" w:eastAsia="Arial Unicode MS" w:cs="Arial Unicode MS"/>
      <w:b/>
      <w:color w:val="000000"/>
      <w:sz w:val="24"/>
      <w:szCs w:val="24"/>
      <w:u w:val="none"/>
    </w:rPr>
  </w:style>
  <w:style w:type="character" w:customStyle="1" w:styleId="76">
    <w:name w:val="font11"/>
    <w:basedOn w:val="25"/>
    <w:autoRedefine/>
    <w:qFormat/>
    <w:uiPriority w:val="0"/>
    <w:rPr>
      <w:rFonts w:hint="eastAsia" w:ascii="Arial Unicode MS" w:hAnsi="Arial Unicode MS" w:eastAsia="Arial Unicode MS" w:cs="Arial Unicode MS"/>
      <w:b/>
      <w:color w:val="000000"/>
      <w:sz w:val="24"/>
      <w:szCs w:val="24"/>
      <w:u w:val="single"/>
    </w:rPr>
  </w:style>
  <w:style w:type="paragraph" w:customStyle="1" w:styleId="77">
    <w:name w:val="_Style 2"/>
    <w:autoRedefine/>
    <w:qFormat/>
    <w:uiPriority w:val="1"/>
    <w:pPr>
      <w:adjustRightInd w:val="0"/>
      <w:snapToGrid w:val="0"/>
    </w:pPr>
    <w:rPr>
      <w:rFonts w:ascii="Tahoma" w:hAnsi="Tahoma" w:eastAsia="宋体" w:cs="Times New Roman"/>
      <w:sz w:val="22"/>
      <w:szCs w:val="22"/>
      <w:lang w:val="en-US" w:eastAsia="zh-CN" w:bidi="ar-SA"/>
    </w:rPr>
  </w:style>
  <w:style w:type="paragraph" w:customStyle="1" w:styleId="78">
    <w:name w:val="Address"/>
    <w:basedOn w:val="1"/>
    <w:next w:val="1"/>
    <w:autoRedefine/>
    <w:qFormat/>
    <w:uiPriority w:val="0"/>
    <w:pPr>
      <w:autoSpaceDE w:val="0"/>
      <w:autoSpaceDN w:val="0"/>
      <w:adjustRightInd w:val="0"/>
      <w:jc w:val="left"/>
    </w:pPr>
    <w:rPr>
      <w:i/>
      <w:kern w:val="0"/>
    </w:rPr>
  </w:style>
  <w:style w:type="character" w:customStyle="1" w:styleId="79">
    <w:name w:val="Variable"/>
    <w:autoRedefine/>
    <w:qFormat/>
    <w:uiPriority w:val="0"/>
    <w:rPr>
      <w:i/>
    </w:rPr>
  </w:style>
  <w:style w:type="character" w:customStyle="1" w:styleId="80">
    <w:name w:val="font41"/>
    <w:basedOn w:val="25"/>
    <w:autoRedefine/>
    <w:qFormat/>
    <w:uiPriority w:val="0"/>
    <w:rPr>
      <w:rFonts w:ascii="Microsoft YaHei UI" w:hAnsi="Microsoft YaHei UI" w:eastAsia="Microsoft YaHei UI" w:cs="Microsoft YaHei UI"/>
      <w:color w:val="000000"/>
      <w:sz w:val="21"/>
      <w:szCs w:val="21"/>
      <w:u w:val="none"/>
    </w:rPr>
  </w:style>
  <w:style w:type="character" w:customStyle="1" w:styleId="81">
    <w:name w:val="font21"/>
    <w:basedOn w:val="25"/>
    <w:autoRedefine/>
    <w:qFormat/>
    <w:uiPriority w:val="0"/>
    <w:rPr>
      <w:rFonts w:hint="default" w:ascii="方正仿宋_GBK" w:hAnsi="方正仿宋_GBK" w:eastAsia="方正仿宋_GBK" w:cs="方正仿宋_GBK"/>
      <w:color w:val="000000"/>
      <w:sz w:val="21"/>
      <w:szCs w:val="21"/>
      <w:u w:val="none"/>
    </w:rPr>
  </w:style>
  <w:style w:type="paragraph" w:customStyle="1" w:styleId="82">
    <w:name w:val="Table Text"/>
    <w:basedOn w:val="1"/>
    <w:semiHidden/>
    <w:qFormat/>
    <w:uiPriority w:val="0"/>
    <w:rPr>
      <w:rFonts w:ascii="仿宋" w:hAnsi="仿宋" w:eastAsia="仿宋" w:cs="仿宋"/>
      <w:lang w:eastAsia="en-US"/>
    </w:rPr>
  </w:style>
  <w:style w:type="table" w:customStyle="1" w:styleId="83">
    <w:name w:val="Table Normal"/>
    <w:autoRedefine/>
    <w:semiHidden/>
    <w:unhideWhenUsed/>
    <w:qFormat/>
    <w:uiPriority w:val="0"/>
    <w:tblPr>
      <w:tblCellMar>
        <w:top w:w="0" w:type="dxa"/>
        <w:left w:w="0" w:type="dxa"/>
        <w:bottom w:w="0" w:type="dxa"/>
        <w:right w:w="0" w:type="dxa"/>
      </w:tblCellMar>
    </w:tblPr>
  </w:style>
  <w:style w:type="paragraph" w:customStyle="1" w:styleId="84">
    <w:name w:val="paragraphindent"/>
    <w:basedOn w:val="1"/>
    <w:qFormat/>
    <w:uiPriority w:val="0"/>
    <w:pPr>
      <w:widowControl/>
      <w:spacing w:beforeAutospacing="1" w:afterAutospacing="1"/>
      <w:jc w:val="left"/>
    </w:pPr>
    <w:rPr>
      <w:rFonts w:ascii="宋体" w:cs="宋体"/>
      <w:kern w:val="0"/>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41</Pages>
  <Words>20461</Words>
  <Characters>21595</Characters>
  <Lines>164</Lines>
  <Paragraphs>46</Paragraphs>
  <TotalTime>3</TotalTime>
  <ScaleCrop>false</ScaleCrop>
  <LinksUpToDate>false</LinksUpToDate>
  <CharactersWithSpaces>21984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2023-01-31T06:05:00Z</dcterms:created>
  <dc:creator>USER-</dc:creator>
  <cp:lastModifiedBy>做个可可爱爱的人</cp:lastModifiedBy>
  <cp:lastPrinted>2024-08-21T06:28:00Z</cp:lastPrinted>
  <dcterms:modified xsi:type="dcterms:W3CDTF">2024-10-17T07:14:07Z</dcterms:modified>
  <dc:title> </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1CC2F4D476A34391ABC8DB92AF8E2DC4_13</vt:lpwstr>
  </property>
</Properties>
</file>