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C6A">
      <w:pPr>
        <w:spacing w:before="468" w:beforeLines="150" w:after="312" w:afterLines="100"/>
        <w:jc w:val="both"/>
        <w:rPr>
          <w:rFonts w:hint="default" w:ascii="宋体" w:hAnsi="宋体" w:cs="Times New Roman"/>
          <w:b/>
          <w:color w:val="auto"/>
          <w:sz w:val="36"/>
          <w:szCs w:val="36"/>
          <w:highlight w:val="none"/>
        </w:rPr>
      </w:pPr>
    </w:p>
    <w:p w14:paraId="2E601384">
      <w:pPr>
        <w:pStyle w:val="2"/>
        <w:rPr>
          <w:rFonts w:hint="default" w:ascii="宋体" w:hAnsi="宋体" w:cs="Times New Roman"/>
          <w:b/>
          <w:color w:val="auto"/>
          <w:sz w:val="36"/>
          <w:szCs w:val="36"/>
          <w:highlight w:val="none"/>
        </w:rPr>
      </w:pPr>
    </w:p>
    <w:p w14:paraId="75864000">
      <w:pPr>
        <w:keepNext w:val="0"/>
        <w:keepLines w:val="0"/>
        <w:pageBreakBefore w:val="0"/>
        <w:widowControl w:val="0"/>
        <w:kinsoku/>
        <w:wordWrap/>
        <w:overflowPunct/>
        <w:topLinePunct w:val="0"/>
        <w:autoSpaceDE/>
        <w:autoSpaceDN/>
        <w:bidi w:val="0"/>
        <w:adjustRightInd w:val="0"/>
        <w:snapToGrid w:val="0"/>
        <w:spacing w:after="312" w:afterLines="100"/>
        <w:jc w:val="center"/>
        <w:textAlignment w:val="auto"/>
        <w:rPr>
          <w:rFonts w:hint="default" w:ascii="宋体" w:hAnsi="宋体" w:eastAsia="宋体" w:cs="Times New Roman"/>
          <w:b/>
          <w:color w:val="auto"/>
          <w:sz w:val="48"/>
          <w:szCs w:val="48"/>
          <w:highlight w:val="none"/>
          <w:lang w:val="en-US" w:eastAsia="zh-CN"/>
        </w:rPr>
      </w:pPr>
      <w:r>
        <w:rPr>
          <w:rFonts w:hint="eastAsia" w:ascii="宋体" w:hAnsi="宋体" w:cs="Times New Roman"/>
          <w:b/>
          <w:color w:val="auto"/>
          <w:sz w:val="48"/>
          <w:szCs w:val="48"/>
          <w:highlight w:val="none"/>
          <w:lang w:val="en-US" w:eastAsia="zh-CN"/>
        </w:rPr>
        <w:t>如东县阳光岛应急仓库应急物资采购项目</w:t>
      </w:r>
    </w:p>
    <w:p w14:paraId="52854C55">
      <w:pPr>
        <w:pStyle w:val="38"/>
        <w:rPr>
          <w:color w:val="auto"/>
          <w:highlight w:val="none"/>
        </w:rPr>
      </w:pPr>
    </w:p>
    <w:p w14:paraId="6DDBE4D1">
      <w:pPr>
        <w:spacing w:before="156" w:beforeLines="50" w:after="156" w:afterLines="50"/>
        <w:ind w:right="-334" w:rightChars="-159"/>
        <w:rPr>
          <w:rFonts w:ascii="宋体" w:hAnsi="宋体"/>
          <w:color w:val="auto"/>
          <w:highlight w:val="none"/>
        </w:rPr>
      </w:pPr>
    </w:p>
    <w:p w14:paraId="527130C2">
      <w:pPr>
        <w:pStyle w:val="3"/>
        <w:rPr>
          <w:rFonts w:ascii="宋体" w:hAnsi="宋体"/>
          <w:color w:val="auto"/>
          <w:highlight w:val="none"/>
        </w:rPr>
      </w:pPr>
    </w:p>
    <w:p w14:paraId="00BE2483">
      <w:pPr>
        <w:pStyle w:val="3"/>
        <w:rPr>
          <w:rFonts w:ascii="宋体" w:hAnsi="宋体"/>
          <w:color w:val="auto"/>
          <w:highlight w:val="none"/>
        </w:rPr>
      </w:pPr>
    </w:p>
    <w:p w14:paraId="74F71EA5">
      <w:pPr>
        <w:spacing w:before="156" w:beforeLines="50" w:after="156" w:afterLines="50"/>
        <w:ind w:right="-334" w:rightChars="-159"/>
        <w:jc w:val="center"/>
        <w:rPr>
          <w:rFonts w:ascii="宋体" w:hAnsi="宋体"/>
          <w:b/>
          <w:color w:val="auto"/>
          <w:sz w:val="72"/>
          <w:highlight w:val="none"/>
        </w:rPr>
      </w:pPr>
      <w:r>
        <w:rPr>
          <w:rFonts w:hint="eastAsia" w:ascii="宋体" w:hAnsi="宋体"/>
          <w:b/>
          <w:color w:val="auto"/>
          <w:sz w:val="72"/>
          <w:highlight w:val="none"/>
          <w:lang w:val="en-US" w:eastAsia="zh-CN"/>
        </w:rPr>
        <w:t>询价</w:t>
      </w:r>
      <w:r>
        <w:rPr>
          <w:rFonts w:hint="eastAsia" w:ascii="宋体" w:hAnsi="宋体"/>
          <w:b/>
          <w:color w:val="auto"/>
          <w:sz w:val="72"/>
          <w:highlight w:val="none"/>
        </w:rPr>
        <w:t>文件</w:t>
      </w:r>
    </w:p>
    <w:p w14:paraId="0DB29C4D">
      <w:pPr>
        <w:spacing w:before="156" w:beforeLines="50" w:after="156" w:afterLines="50"/>
        <w:ind w:right="-334" w:rightChars="-159"/>
        <w:jc w:val="distribute"/>
        <w:rPr>
          <w:rFonts w:ascii="宋体" w:hAnsi="宋体"/>
          <w:b/>
          <w:color w:val="auto"/>
          <w:sz w:val="32"/>
          <w:highlight w:val="none"/>
        </w:rPr>
      </w:pPr>
    </w:p>
    <w:p w14:paraId="769F3F7D">
      <w:pPr>
        <w:pStyle w:val="2"/>
        <w:rPr>
          <w:color w:val="auto"/>
          <w:highlight w:val="none"/>
        </w:rPr>
      </w:pPr>
    </w:p>
    <w:p w14:paraId="4D0FAD08">
      <w:pPr>
        <w:spacing w:before="156" w:beforeLines="50" w:after="156" w:afterLines="50"/>
        <w:ind w:right="-334" w:rightChars="-159" w:firstLine="3534" w:firstLineChars="1100"/>
        <w:rPr>
          <w:rFonts w:hint="default" w:ascii="宋体" w:hAnsi="宋体"/>
          <w:b/>
          <w:color w:val="auto"/>
          <w:sz w:val="32"/>
          <w:highlight w:val="none"/>
          <w:u w:val="single"/>
          <w:lang w:val="en-US"/>
        </w:rPr>
      </w:pPr>
      <w:r>
        <w:rPr>
          <w:rFonts w:hint="eastAsia" w:ascii="宋体" w:hAnsi="宋体"/>
          <w:b/>
          <w:snapToGrid w:val="0"/>
          <w:color w:val="auto"/>
          <w:kern w:val="0"/>
          <w:sz w:val="32"/>
          <w:highlight w:val="none"/>
        </w:rPr>
        <w:t>编号：</w:t>
      </w:r>
      <w:r>
        <w:rPr>
          <w:rFonts w:hint="eastAsia" w:ascii="宋体" w:hAnsi="宋体" w:cs="Times New Roman"/>
          <w:b/>
          <w:snapToGrid w:val="0"/>
          <w:color w:val="auto"/>
          <w:kern w:val="0"/>
          <w:sz w:val="32"/>
          <w:highlight w:val="none"/>
          <w:u w:val="single"/>
          <w:lang w:val="en-US" w:eastAsia="zh-CN"/>
        </w:rPr>
        <w:t>YKG2024JDB247</w:t>
      </w:r>
    </w:p>
    <w:p w14:paraId="6B4ECD07">
      <w:pPr>
        <w:pStyle w:val="2"/>
        <w:ind w:left="0" w:leftChars="0" w:firstLine="0" w:firstLineChars="0"/>
        <w:jc w:val="both"/>
        <w:rPr>
          <w:color w:val="auto"/>
          <w:highlight w:val="none"/>
        </w:rPr>
      </w:pPr>
    </w:p>
    <w:p w14:paraId="0E165ADF">
      <w:pPr>
        <w:pStyle w:val="3"/>
        <w:rPr>
          <w:color w:val="auto"/>
          <w:highlight w:val="none"/>
        </w:rPr>
      </w:pPr>
    </w:p>
    <w:p w14:paraId="5F707065">
      <w:pPr>
        <w:spacing w:before="624" w:beforeLines="200" w:line="280" w:lineRule="exact"/>
        <w:ind w:firstLine="600" w:firstLineChars="200"/>
        <w:rPr>
          <w:rFonts w:ascii="宋体" w:hAnsi="宋体"/>
          <w:bCs/>
          <w:color w:val="auto"/>
          <w:sz w:val="30"/>
          <w:highlight w:val="none"/>
        </w:rPr>
      </w:pPr>
    </w:p>
    <w:p w14:paraId="3AB528CE">
      <w:pPr>
        <w:pStyle w:val="17"/>
        <w:rPr>
          <w:rFonts w:ascii="宋体" w:hAnsi="宋体"/>
          <w:bCs/>
          <w:color w:val="auto"/>
          <w:sz w:val="30"/>
          <w:highlight w:val="none"/>
        </w:rPr>
      </w:pPr>
    </w:p>
    <w:p w14:paraId="5B04E830">
      <w:pPr>
        <w:pStyle w:val="17"/>
        <w:rPr>
          <w:rFonts w:ascii="宋体" w:hAnsi="宋体"/>
          <w:bCs/>
          <w:color w:val="auto"/>
          <w:sz w:val="30"/>
          <w:highlight w:val="none"/>
        </w:rPr>
      </w:pPr>
    </w:p>
    <w:p w14:paraId="51BE5EB0">
      <w:pPr>
        <w:pStyle w:val="17"/>
        <w:rPr>
          <w:rFonts w:ascii="宋体" w:hAnsi="宋体"/>
          <w:bCs/>
          <w:color w:val="auto"/>
          <w:sz w:val="30"/>
          <w:highlight w:val="none"/>
        </w:rPr>
      </w:pPr>
    </w:p>
    <w:p w14:paraId="101EEA8C">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both"/>
        <w:textAlignment w:val="auto"/>
        <w:rPr>
          <w:rFonts w:hint="eastAsia" w:ascii="宋体" w:hAnsi="宋体" w:cs="Times New Roman"/>
          <w:color w:val="auto"/>
          <w:sz w:val="30"/>
          <w:szCs w:val="30"/>
          <w:highlight w:val="none"/>
          <w:u w:val="single"/>
        </w:rPr>
      </w:pPr>
      <w:r>
        <w:rPr>
          <w:rFonts w:hint="eastAsia" w:ascii="宋体" w:hAnsi="宋体" w:eastAsia="宋体"/>
          <w:bCs/>
          <w:color w:val="auto"/>
          <w:kern w:val="2"/>
          <w:sz w:val="30"/>
          <w:szCs w:val="24"/>
          <w:highlight w:val="none"/>
        </w:rPr>
        <w:t>采购单位（盖章）：</w:t>
      </w:r>
      <w:r>
        <w:rPr>
          <w:rFonts w:hint="eastAsia" w:ascii="宋体" w:hAnsi="宋体" w:cs="Times New Roman"/>
          <w:color w:val="auto"/>
          <w:sz w:val="30"/>
          <w:szCs w:val="30"/>
          <w:highlight w:val="none"/>
          <w:u w:val="single"/>
          <w:lang w:eastAsia="zh-CN"/>
        </w:rPr>
        <w:t>江苏洋口港港务有限公司</w:t>
      </w:r>
    </w:p>
    <w:p w14:paraId="1AA8B174">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both"/>
        <w:textAlignment w:val="auto"/>
        <w:rPr>
          <w:rFonts w:hint="eastAsia" w:ascii="宋体" w:hAnsi="宋体" w:eastAsia="宋体"/>
          <w:color w:val="auto"/>
          <w:sz w:val="30"/>
          <w:szCs w:val="30"/>
          <w:highlight w:val="none"/>
          <w:u w:val="single"/>
          <w:lang w:eastAsia="zh-CN"/>
        </w:rPr>
      </w:pPr>
      <w:r>
        <w:rPr>
          <w:rFonts w:hint="eastAsia" w:ascii="宋体" w:hAnsi="宋体"/>
          <w:bCs/>
          <w:color w:val="auto"/>
          <w:sz w:val="30"/>
          <w:highlight w:val="none"/>
        </w:rPr>
        <w:t>招标代理（盖章）：</w:t>
      </w:r>
      <w:r>
        <w:rPr>
          <w:rFonts w:hint="eastAsia" w:ascii="宋体" w:hAnsi="宋体"/>
          <w:color w:val="auto"/>
          <w:sz w:val="30"/>
          <w:szCs w:val="30"/>
          <w:highlight w:val="none"/>
          <w:u w:val="single"/>
          <w:lang w:eastAsia="zh-CN"/>
        </w:rPr>
        <w:t>江苏建达全过程工程咨询有限公司</w:t>
      </w:r>
    </w:p>
    <w:p w14:paraId="4F60EF86">
      <w:pPr>
        <w:keepNext w:val="0"/>
        <w:keepLines w:val="0"/>
        <w:pageBreakBefore w:val="0"/>
        <w:widowControl w:val="0"/>
        <w:kinsoku/>
        <w:wordWrap/>
        <w:overflowPunct/>
        <w:topLinePunct w:val="0"/>
        <w:autoSpaceDE/>
        <w:autoSpaceDN/>
        <w:bidi w:val="0"/>
        <w:adjustRightInd/>
        <w:snapToGrid/>
        <w:spacing w:line="360" w:lineRule="auto"/>
        <w:ind w:left="596" w:leftChars="284" w:firstLine="1200" w:firstLineChars="400"/>
        <w:jc w:val="both"/>
        <w:textAlignment w:val="auto"/>
        <w:rPr>
          <w:rFonts w:hint="eastAsia" w:ascii="宋体" w:hAnsi="宋体" w:cs="宋体"/>
          <w:color w:val="auto"/>
          <w:kern w:val="0"/>
          <w:sz w:val="28"/>
          <w:szCs w:val="28"/>
          <w:highlight w:val="none"/>
        </w:rPr>
      </w:pPr>
      <w:r>
        <w:rPr>
          <w:rFonts w:hint="eastAsia" w:ascii="宋体" w:hAnsi="宋体" w:eastAsia="宋体" w:cs="Times New Roman"/>
          <w:bCs/>
          <w:color w:val="auto"/>
          <w:kern w:val="2"/>
          <w:sz w:val="30"/>
          <w:szCs w:val="24"/>
          <w:highlight w:val="none"/>
        </w:rPr>
        <w:t xml:space="preserve">日     </w:t>
      </w:r>
      <w:r>
        <w:rPr>
          <w:rFonts w:hint="eastAsia" w:ascii="宋体" w:hAnsi="宋体" w:eastAsia="宋体" w:cs="Times New Roman"/>
          <w:bCs/>
          <w:color w:val="auto"/>
          <w:kern w:val="2"/>
          <w:sz w:val="30"/>
          <w:szCs w:val="24"/>
          <w:highlight w:val="none"/>
          <w:lang w:val="en-US" w:eastAsia="zh-CN"/>
        </w:rPr>
        <w:t xml:space="preserve"> </w:t>
      </w:r>
      <w:r>
        <w:rPr>
          <w:rFonts w:hint="eastAsia" w:ascii="宋体" w:hAnsi="宋体" w:eastAsia="宋体" w:cs="Times New Roman"/>
          <w:bCs/>
          <w:color w:val="auto"/>
          <w:kern w:val="2"/>
          <w:sz w:val="30"/>
          <w:szCs w:val="24"/>
          <w:highlight w:val="none"/>
        </w:rPr>
        <w:t xml:space="preserve">      期：</w:t>
      </w:r>
      <w:r>
        <w:rPr>
          <w:rFonts w:hint="eastAsia" w:ascii="宋体" w:hAnsi="宋体" w:cs="Times New Roman"/>
          <w:bCs/>
          <w:color w:val="auto"/>
          <w:kern w:val="2"/>
          <w:sz w:val="30"/>
          <w:szCs w:val="24"/>
          <w:highlight w:val="none"/>
          <w:u w:val="single"/>
          <w:lang w:val="en-US" w:eastAsia="zh-CN"/>
        </w:rPr>
        <w:t xml:space="preserve">     </w:t>
      </w:r>
      <w:r>
        <w:rPr>
          <w:rFonts w:hint="eastAsia" w:ascii="宋体" w:hAnsi="宋体" w:eastAsia="宋体" w:cs="Times New Roman"/>
          <w:bCs/>
          <w:color w:val="auto"/>
          <w:kern w:val="2"/>
          <w:sz w:val="30"/>
          <w:szCs w:val="24"/>
          <w:highlight w:val="none"/>
          <w:u w:val="single"/>
        </w:rPr>
        <w:t>202</w:t>
      </w:r>
      <w:r>
        <w:rPr>
          <w:rFonts w:hint="eastAsia" w:ascii="宋体" w:hAnsi="宋体" w:cs="Times New Roman"/>
          <w:bCs/>
          <w:color w:val="auto"/>
          <w:kern w:val="2"/>
          <w:sz w:val="30"/>
          <w:szCs w:val="24"/>
          <w:highlight w:val="none"/>
          <w:u w:val="single"/>
          <w:lang w:val="en-US" w:eastAsia="zh-CN"/>
        </w:rPr>
        <w:t>5</w:t>
      </w:r>
      <w:r>
        <w:rPr>
          <w:rFonts w:hint="eastAsia" w:ascii="宋体" w:hAnsi="宋体" w:eastAsia="宋体" w:cs="Times New Roman"/>
          <w:bCs/>
          <w:color w:val="auto"/>
          <w:kern w:val="2"/>
          <w:sz w:val="30"/>
          <w:szCs w:val="24"/>
          <w:highlight w:val="none"/>
          <w:u w:val="single"/>
        </w:rPr>
        <w:t>年</w:t>
      </w:r>
      <w:r>
        <w:rPr>
          <w:rFonts w:hint="eastAsia" w:ascii="宋体" w:hAnsi="宋体" w:cs="Times New Roman"/>
          <w:bCs/>
          <w:color w:val="auto"/>
          <w:kern w:val="2"/>
          <w:sz w:val="30"/>
          <w:szCs w:val="24"/>
          <w:highlight w:val="none"/>
          <w:u w:val="single"/>
          <w:lang w:val="en-US" w:eastAsia="zh-CN"/>
        </w:rPr>
        <w:t>01</w:t>
      </w:r>
      <w:r>
        <w:rPr>
          <w:rFonts w:hint="eastAsia" w:ascii="宋体" w:hAnsi="宋体" w:eastAsia="宋体" w:cs="Times New Roman"/>
          <w:bCs/>
          <w:color w:val="auto"/>
          <w:kern w:val="2"/>
          <w:sz w:val="30"/>
          <w:szCs w:val="24"/>
          <w:highlight w:val="none"/>
          <w:u w:val="single"/>
        </w:rPr>
        <w:t>月</w:t>
      </w:r>
      <w:r>
        <w:rPr>
          <w:rFonts w:hint="eastAsia" w:ascii="宋体" w:hAnsi="宋体" w:cs="Times New Roman"/>
          <w:bCs/>
          <w:color w:val="auto"/>
          <w:kern w:val="2"/>
          <w:sz w:val="30"/>
          <w:szCs w:val="24"/>
          <w:highlight w:val="none"/>
          <w:u w:val="single"/>
          <w:lang w:val="en-US" w:eastAsia="zh-CN"/>
        </w:rPr>
        <w:t xml:space="preserve">   </w:t>
      </w:r>
      <w:r>
        <w:rPr>
          <w:rFonts w:hint="eastAsia" w:ascii="宋体" w:hAnsi="宋体" w:eastAsia="宋体" w:cs="Times New Roman"/>
          <w:bCs/>
          <w:color w:val="auto"/>
          <w:kern w:val="2"/>
          <w:sz w:val="30"/>
          <w:szCs w:val="24"/>
          <w:highlight w:val="none"/>
          <w:u w:val="single"/>
        </w:rPr>
        <w:t>日</w:t>
      </w:r>
      <w:r>
        <w:rPr>
          <w:rFonts w:hint="eastAsia" w:ascii="宋体" w:hAnsi="宋体" w:cs="Times New Roman"/>
          <w:bCs/>
          <w:color w:val="auto"/>
          <w:kern w:val="2"/>
          <w:sz w:val="30"/>
          <w:szCs w:val="24"/>
          <w:highlight w:val="none"/>
          <w:u w:val="single"/>
          <w:lang w:val="en-US" w:eastAsia="zh-CN"/>
        </w:rPr>
        <w:t xml:space="preserve">    </w:t>
      </w:r>
      <w:r>
        <w:rPr>
          <w:rFonts w:hint="eastAsia" w:ascii="宋体" w:hAnsi="宋体" w:cs="宋体"/>
          <w:color w:val="auto"/>
          <w:kern w:val="0"/>
          <w:sz w:val="28"/>
          <w:szCs w:val="28"/>
          <w:highlight w:val="none"/>
        </w:rPr>
        <w:t xml:space="preserve">  </w:t>
      </w:r>
    </w:p>
    <w:p w14:paraId="6FE99134">
      <w:pPr>
        <w:spacing w:line="360" w:lineRule="auto"/>
        <w:jc w:val="center"/>
        <w:rPr>
          <w:rFonts w:ascii="宋体" w:hAnsi="宋体" w:cs="宋体"/>
          <w:color w:val="auto"/>
          <w:sz w:val="36"/>
          <w:highlight w:val="none"/>
        </w:rPr>
      </w:pPr>
      <w:r>
        <w:rPr>
          <w:rFonts w:hint="eastAsia" w:ascii="宋体" w:hAnsi="宋体" w:cs="宋体"/>
          <w:color w:val="auto"/>
          <w:sz w:val="36"/>
          <w:highlight w:val="none"/>
        </w:rPr>
        <w:t>备案表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0"/>
      </w:tblGrid>
      <w:tr w14:paraId="7342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799" w:hRule="atLeast"/>
          <w:jc w:val="center"/>
        </w:trPr>
        <w:tc>
          <w:tcPr>
            <w:tcW w:w="9660" w:type="dxa"/>
            <w:tcBorders>
              <w:top w:val="single" w:color="auto" w:sz="4" w:space="0"/>
              <w:left w:val="single" w:color="auto" w:sz="4" w:space="0"/>
              <w:bottom w:val="single" w:color="auto" w:sz="4" w:space="0"/>
              <w:right w:val="single" w:color="auto" w:sz="4" w:space="0"/>
            </w:tcBorders>
          </w:tcPr>
          <w:p w14:paraId="5C1EF1A2">
            <w:pPr>
              <w:spacing w:line="360" w:lineRule="auto"/>
              <w:rPr>
                <w:rFonts w:ascii="宋体" w:hAnsi="宋体" w:cs="宋体"/>
                <w:color w:val="auto"/>
                <w:sz w:val="25"/>
                <w:szCs w:val="24"/>
                <w:highlight w:val="none"/>
              </w:rPr>
            </w:pPr>
          </w:p>
          <w:p w14:paraId="3F0B2E6C">
            <w:pPr>
              <w:spacing w:line="360" w:lineRule="auto"/>
              <w:ind w:firstLine="1875" w:firstLineChars="750"/>
              <w:rPr>
                <w:rFonts w:ascii="宋体" w:hAnsi="宋体" w:cs="宋体"/>
                <w:color w:val="auto"/>
                <w:sz w:val="25"/>
                <w:highlight w:val="none"/>
              </w:rPr>
            </w:pPr>
          </w:p>
          <w:p w14:paraId="7E315361">
            <w:pPr>
              <w:spacing w:line="360" w:lineRule="auto"/>
              <w:ind w:firstLine="1875" w:firstLineChars="750"/>
              <w:rPr>
                <w:rFonts w:ascii="宋体" w:hAnsi="宋体" w:cs="宋体"/>
                <w:color w:val="auto"/>
                <w:sz w:val="25"/>
                <w:highlight w:val="none"/>
              </w:rPr>
            </w:pPr>
          </w:p>
          <w:p w14:paraId="7370CE98">
            <w:pPr>
              <w:spacing w:line="360" w:lineRule="auto"/>
              <w:ind w:firstLine="4090" w:firstLineChars="1636"/>
              <w:rPr>
                <w:rFonts w:ascii="宋体" w:hAnsi="宋体" w:cs="宋体"/>
                <w:color w:val="auto"/>
                <w:sz w:val="25"/>
                <w:szCs w:val="24"/>
                <w:highlight w:val="none"/>
              </w:rPr>
            </w:pPr>
          </w:p>
          <w:p w14:paraId="3D188F7C">
            <w:pPr>
              <w:spacing w:line="360" w:lineRule="auto"/>
              <w:rPr>
                <w:rFonts w:ascii="宋体" w:hAnsi="宋体" w:cs="宋体"/>
                <w:color w:val="auto"/>
                <w:sz w:val="25"/>
                <w:szCs w:val="24"/>
                <w:highlight w:val="none"/>
              </w:rPr>
            </w:pPr>
          </w:p>
          <w:p w14:paraId="2DE9469D">
            <w:pPr>
              <w:spacing w:line="360" w:lineRule="auto"/>
              <w:rPr>
                <w:rFonts w:ascii="宋体" w:hAnsi="宋体" w:cs="宋体"/>
                <w:color w:val="auto"/>
                <w:sz w:val="25"/>
                <w:highlight w:val="none"/>
              </w:rPr>
            </w:pPr>
          </w:p>
          <w:p w14:paraId="229F7C7E">
            <w:pPr>
              <w:spacing w:line="360" w:lineRule="auto"/>
              <w:ind w:firstLine="1000" w:firstLineChars="400"/>
              <w:rPr>
                <w:rFonts w:ascii="宋体" w:hAnsi="宋体" w:cs="宋体"/>
                <w:color w:val="auto"/>
                <w:sz w:val="25"/>
                <w:highlight w:val="none"/>
              </w:rPr>
            </w:pPr>
          </w:p>
          <w:p w14:paraId="6FEA6B0B">
            <w:pPr>
              <w:wordWrap w:val="0"/>
              <w:spacing w:line="360" w:lineRule="auto"/>
              <w:ind w:right="125"/>
              <w:jc w:val="right"/>
              <w:rPr>
                <w:rFonts w:ascii="宋体" w:hAnsi="宋体" w:cs="宋体"/>
                <w:color w:val="auto"/>
                <w:sz w:val="25"/>
                <w:szCs w:val="24"/>
                <w:highlight w:val="none"/>
              </w:rPr>
            </w:pPr>
          </w:p>
          <w:p w14:paraId="0916E485">
            <w:pPr>
              <w:spacing w:line="360" w:lineRule="auto"/>
              <w:rPr>
                <w:rFonts w:ascii="宋体" w:hAnsi="宋体" w:cs="宋体"/>
                <w:color w:val="auto"/>
                <w:sz w:val="25"/>
                <w:szCs w:val="24"/>
                <w:highlight w:val="none"/>
              </w:rPr>
            </w:pPr>
          </w:p>
          <w:p w14:paraId="56B34D6F">
            <w:pPr>
              <w:spacing w:line="360" w:lineRule="auto"/>
              <w:rPr>
                <w:rFonts w:ascii="宋体" w:hAnsi="宋体" w:cs="宋体"/>
                <w:color w:val="auto"/>
                <w:sz w:val="25"/>
                <w:highlight w:val="none"/>
              </w:rPr>
            </w:pPr>
          </w:p>
          <w:p w14:paraId="2DFB9D67">
            <w:pPr>
              <w:spacing w:line="360" w:lineRule="auto"/>
              <w:jc w:val="center"/>
              <w:rPr>
                <w:rFonts w:hint="eastAsia" w:ascii="宋体" w:hAnsi="宋体" w:cs="宋体"/>
                <w:color w:val="auto"/>
                <w:sz w:val="25"/>
                <w:highlight w:val="none"/>
              </w:rPr>
            </w:pPr>
          </w:p>
          <w:p w14:paraId="375B0E6D">
            <w:pPr>
              <w:spacing w:line="360" w:lineRule="auto"/>
              <w:jc w:val="center"/>
              <w:rPr>
                <w:rFonts w:hint="eastAsia" w:ascii="宋体" w:hAnsi="宋体" w:cs="宋体"/>
                <w:color w:val="auto"/>
                <w:sz w:val="25"/>
                <w:highlight w:val="none"/>
              </w:rPr>
            </w:pPr>
          </w:p>
          <w:p w14:paraId="65AA6D7F">
            <w:pPr>
              <w:spacing w:line="360" w:lineRule="auto"/>
              <w:jc w:val="center"/>
              <w:rPr>
                <w:rFonts w:hint="eastAsia" w:ascii="宋体" w:hAnsi="宋体" w:cs="宋体"/>
                <w:color w:val="auto"/>
                <w:sz w:val="25"/>
                <w:highlight w:val="none"/>
              </w:rPr>
            </w:pPr>
          </w:p>
          <w:p w14:paraId="6B948DF0">
            <w:pPr>
              <w:spacing w:line="360" w:lineRule="auto"/>
              <w:jc w:val="center"/>
              <w:rPr>
                <w:rFonts w:hint="eastAsia" w:ascii="宋体" w:hAnsi="宋体" w:cs="宋体"/>
                <w:color w:val="auto"/>
                <w:sz w:val="25"/>
                <w:highlight w:val="none"/>
              </w:rPr>
            </w:pPr>
          </w:p>
          <w:p w14:paraId="68327CB2">
            <w:pPr>
              <w:spacing w:line="360" w:lineRule="auto"/>
              <w:jc w:val="center"/>
              <w:rPr>
                <w:rFonts w:hint="eastAsia" w:ascii="宋体" w:hAnsi="宋体" w:cs="宋体"/>
                <w:color w:val="auto"/>
                <w:sz w:val="25"/>
                <w:highlight w:val="none"/>
              </w:rPr>
            </w:pPr>
          </w:p>
          <w:p w14:paraId="27FA2274">
            <w:pPr>
              <w:spacing w:line="360" w:lineRule="auto"/>
              <w:jc w:val="center"/>
              <w:rPr>
                <w:rFonts w:hint="eastAsia" w:ascii="宋体" w:hAnsi="宋体" w:cs="宋体"/>
                <w:color w:val="auto"/>
                <w:sz w:val="25"/>
                <w:highlight w:val="none"/>
              </w:rPr>
            </w:pPr>
          </w:p>
          <w:p w14:paraId="27E0C95A">
            <w:pPr>
              <w:spacing w:line="360" w:lineRule="auto"/>
              <w:jc w:val="center"/>
              <w:rPr>
                <w:rFonts w:ascii="宋体" w:hAnsi="宋体" w:cs="宋体"/>
                <w:color w:val="auto"/>
                <w:sz w:val="25"/>
                <w:highlight w:val="none"/>
              </w:rPr>
            </w:pPr>
            <w:r>
              <w:rPr>
                <w:rFonts w:hint="eastAsia" w:ascii="宋体" w:hAnsi="宋体" w:cs="宋体"/>
                <w:color w:val="auto"/>
                <w:sz w:val="25"/>
                <w:highlight w:val="none"/>
              </w:rPr>
              <w:t>洋口港经济开发区公共资源交易中心</w:t>
            </w:r>
          </w:p>
          <w:p w14:paraId="58919EB5">
            <w:pPr>
              <w:spacing w:line="360" w:lineRule="auto"/>
              <w:jc w:val="center"/>
              <w:rPr>
                <w:rFonts w:ascii="宋体" w:hAnsi="宋体" w:cs="宋体"/>
                <w:color w:val="auto"/>
                <w:sz w:val="25"/>
                <w:highlight w:val="none"/>
              </w:rPr>
            </w:pPr>
          </w:p>
          <w:p w14:paraId="7DA0DA44">
            <w:pPr>
              <w:spacing w:line="360" w:lineRule="auto"/>
              <w:jc w:val="center"/>
              <w:rPr>
                <w:rFonts w:ascii="宋体" w:hAnsi="宋体" w:cs="宋体"/>
                <w:color w:val="auto"/>
                <w:sz w:val="25"/>
                <w:highlight w:val="none"/>
              </w:rPr>
            </w:pPr>
            <w:r>
              <w:rPr>
                <w:rFonts w:hint="eastAsia" w:ascii="宋体" w:hAnsi="宋体" w:cs="宋体"/>
                <w:color w:val="auto"/>
                <w:sz w:val="25"/>
                <w:highlight w:val="none"/>
              </w:rPr>
              <w:t>(备案章)</w:t>
            </w:r>
          </w:p>
          <w:p w14:paraId="4DD00F4C">
            <w:pPr>
              <w:spacing w:line="360" w:lineRule="auto"/>
              <w:jc w:val="center"/>
              <w:rPr>
                <w:rFonts w:ascii="宋体" w:hAnsi="宋体" w:cs="宋体"/>
                <w:color w:val="auto"/>
                <w:sz w:val="25"/>
                <w:szCs w:val="24"/>
                <w:highlight w:val="none"/>
              </w:rPr>
            </w:pPr>
            <w:r>
              <w:rPr>
                <w:rFonts w:hint="eastAsia" w:ascii="宋体" w:hAnsi="宋体" w:cs="宋体"/>
                <w:color w:val="auto"/>
                <w:sz w:val="25"/>
                <w:highlight w:val="none"/>
              </w:rPr>
              <w:t>日  期：</w:t>
            </w:r>
            <w:r>
              <w:rPr>
                <w:rFonts w:hint="eastAsia" w:ascii="宋体" w:hAnsi="宋体" w:cs="宋体"/>
                <w:color w:val="auto"/>
                <w:sz w:val="25"/>
                <w:highlight w:val="none"/>
              </w:rPr>
              <w:t>202</w:t>
            </w:r>
            <w:r>
              <w:rPr>
                <w:rFonts w:hint="eastAsia" w:ascii="宋体" w:hAnsi="宋体" w:cs="宋体"/>
                <w:color w:val="auto"/>
                <w:sz w:val="25"/>
                <w:highlight w:val="none"/>
                <w:lang w:val="en-US" w:eastAsia="zh-CN"/>
              </w:rPr>
              <w:t>5</w:t>
            </w:r>
            <w:r>
              <w:rPr>
                <w:rFonts w:hint="eastAsia" w:ascii="宋体" w:hAnsi="宋体" w:cs="宋体"/>
                <w:color w:val="auto"/>
                <w:sz w:val="25"/>
                <w:highlight w:val="none"/>
              </w:rPr>
              <w:t>年</w:t>
            </w:r>
            <w:r>
              <w:rPr>
                <w:rFonts w:hint="eastAsia" w:ascii="宋体" w:hAnsi="宋体" w:cs="宋体"/>
                <w:color w:val="auto"/>
                <w:sz w:val="25"/>
                <w:highlight w:val="none"/>
                <w:lang w:val="en-US" w:eastAsia="zh-CN"/>
              </w:rPr>
              <w:t>01</w:t>
            </w:r>
            <w:r>
              <w:rPr>
                <w:rFonts w:hint="eastAsia" w:ascii="宋体" w:hAnsi="宋体" w:cs="宋体"/>
                <w:color w:val="auto"/>
                <w:sz w:val="25"/>
                <w:highlight w:val="none"/>
              </w:rPr>
              <w:t>月</w:t>
            </w:r>
            <w:r>
              <w:rPr>
                <w:rFonts w:hint="eastAsia" w:ascii="宋体" w:hAnsi="宋体" w:cs="宋体"/>
                <w:color w:val="auto"/>
                <w:sz w:val="25"/>
                <w:highlight w:val="none"/>
                <w:lang w:val="en-US" w:eastAsia="zh-CN"/>
              </w:rPr>
              <w:t xml:space="preserve">   </w:t>
            </w:r>
            <w:r>
              <w:rPr>
                <w:rFonts w:hint="eastAsia" w:ascii="宋体" w:hAnsi="宋体" w:cs="宋体"/>
                <w:color w:val="auto"/>
                <w:sz w:val="25"/>
                <w:highlight w:val="none"/>
              </w:rPr>
              <w:t>日</w:t>
            </w:r>
          </w:p>
        </w:tc>
      </w:tr>
    </w:tbl>
    <w:p w14:paraId="2B4C0A01">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04143ECD">
      <w:pPr>
        <w:keepNext w:val="0"/>
        <w:keepLines w:val="0"/>
        <w:pageBreakBefore w:val="0"/>
        <w:widowControl w:val="0"/>
        <w:kinsoku/>
        <w:wordWrap/>
        <w:overflowPunct/>
        <w:topLinePunct w:val="0"/>
        <w:autoSpaceDE/>
        <w:autoSpaceDN/>
        <w:bidi w:val="0"/>
        <w:adjustRightInd/>
        <w:snapToGrid/>
        <w:spacing w:after="157" w:afterLines="50" w:line="420" w:lineRule="exact"/>
        <w:ind w:firstLine="3000" w:firstLineChars="996"/>
        <w:textAlignment w:val="auto"/>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第一部分  </w:t>
      </w:r>
      <w:r>
        <w:rPr>
          <w:rFonts w:hint="eastAsia" w:ascii="宋体" w:hAnsi="宋体" w:cs="宋体"/>
          <w:b/>
          <w:bCs/>
          <w:color w:val="auto"/>
          <w:sz w:val="30"/>
          <w:szCs w:val="30"/>
          <w:highlight w:val="none"/>
          <w:lang w:val="en-US" w:eastAsia="zh-CN"/>
        </w:rPr>
        <w:t>询价采购</w:t>
      </w:r>
      <w:r>
        <w:rPr>
          <w:rFonts w:hint="eastAsia" w:ascii="宋体" w:hAnsi="宋体" w:cs="宋体"/>
          <w:b/>
          <w:bCs/>
          <w:color w:val="auto"/>
          <w:sz w:val="30"/>
          <w:szCs w:val="30"/>
          <w:highlight w:val="none"/>
        </w:rPr>
        <w:t>公告</w:t>
      </w:r>
    </w:p>
    <w:p w14:paraId="64397F7E">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color w:val="auto"/>
          <w:szCs w:val="24"/>
          <w:highlight w:val="none"/>
        </w:rPr>
      </w:pPr>
      <w:r>
        <w:rPr>
          <w:rFonts w:hint="eastAsia" w:cs="Times New Roman"/>
          <w:color w:val="auto"/>
          <w:sz w:val="24"/>
          <w:szCs w:val="24"/>
          <w:highlight w:val="none"/>
          <w:u w:val="single"/>
          <w:lang w:val="en-US" w:eastAsia="zh-CN"/>
        </w:rPr>
        <w:t>如东县阳光岛应急仓库应急物资采购项目</w:t>
      </w:r>
      <w:r>
        <w:rPr>
          <w:rFonts w:hint="eastAsia"/>
          <w:color w:val="auto"/>
          <w:szCs w:val="24"/>
          <w:highlight w:val="none"/>
        </w:rPr>
        <w:t>的潜在供应商应在</w:t>
      </w:r>
      <w:r>
        <w:rPr>
          <w:rFonts w:hint="eastAsia"/>
          <w:color w:val="auto"/>
          <w:szCs w:val="24"/>
          <w:highlight w:val="none"/>
          <w:lang w:eastAsia="zh-CN"/>
        </w:rPr>
        <w:t>如东县限额交易网</w:t>
      </w:r>
      <w:r>
        <w:rPr>
          <w:rFonts w:hint="eastAsia"/>
          <w:color w:val="auto"/>
          <w:szCs w:val="24"/>
          <w:highlight w:val="none"/>
        </w:rPr>
        <w:t>获取采购文件，并于</w:t>
      </w:r>
      <w:r>
        <w:rPr>
          <w:rFonts w:hint="eastAsia"/>
          <w:color w:val="auto"/>
          <w:szCs w:val="24"/>
          <w:highlight w:val="none"/>
          <w:u w:val="single"/>
        </w:rPr>
        <w:t>202</w:t>
      </w:r>
      <w:r>
        <w:rPr>
          <w:rFonts w:hint="eastAsia"/>
          <w:color w:val="auto"/>
          <w:szCs w:val="24"/>
          <w:highlight w:val="none"/>
          <w:u w:val="single"/>
          <w:lang w:val="en-US" w:eastAsia="zh-CN"/>
        </w:rPr>
        <w:t>5</w:t>
      </w:r>
      <w:r>
        <w:rPr>
          <w:rFonts w:hint="eastAsia"/>
          <w:color w:val="auto"/>
          <w:szCs w:val="24"/>
          <w:highlight w:val="none"/>
          <w:u w:val="single"/>
        </w:rPr>
        <w:t>年</w:t>
      </w:r>
      <w:r>
        <w:rPr>
          <w:rFonts w:hint="eastAsia"/>
          <w:color w:val="auto"/>
          <w:szCs w:val="24"/>
          <w:highlight w:val="none"/>
          <w:u w:val="single"/>
          <w:lang w:val="en-US" w:eastAsia="zh-CN"/>
        </w:rPr>
        <w:t>01</w:t>
      </w:r>
      <w:r>
        <w:rPr>
          <w:rFonts w:hint="eastAsia"/>
          <w:color w:val="auto"/>
          <w:szCs w:val="24"/>
          <w:highlight w:val="none"/>
          <w:u w:val="single"/>
        </w:rPr>
        <w:t>月</w:t>
      </w:r>
      <w:r>
        <w:rPr>
          <w:rFonts w:hint="eastAsia"/>
          <w:color w:val="auto"/>
          <w:szCs w:val="24"/>
          <w:highlight w:val="none"/>
          <w:u w:val="single"/>
          <w:lang w:val="en-US" w:eastAsia="zh-CN"/>
        </w:rPr>
        <w:t>22</w:t>
      </w:r>
      <w:r>
        <w:rPr>
          <w:rFonts w:hint="eastAsia"/>
          <w:color w:val="auto"/>
          <w:szCs w:val="24"/>
          <w:highlight w:val="none"/>
          <w:u w:val="single"/>
        </w:rPr>
        <w:t>日</w:t>
      </w:r>
      <w:r>
        <w:rPr>
          <w:rFonts w:hint="eastAsia"/>
          <w:color w:val="auto"/>
          <w:szCs w:val="24"/>
          <w:highlight w:val="none"/>
          <w:u w:val="single"/>
          <w:lang w:val="en-US" w:eastAsia="zh-CN"/>
        </w:rPr>
        <w:t>下午14</w:t>
      </w:r>
      <w:r>
        <w:rPr>
          <w:rFonts w:hint="eastAsia"/>
          <w:color w:val="auto"/>
          <w:szCs w:val="24"/>
          <w:highlight w:val="none"/>
          <w:u w:val="single"/>
        </w:rPr>
        <w:t>时</w:t>
      </w:r>
      <w:r>
        <w:rPr>
          <w:rFonts w:hint="eastAsia"/>
          <w:color w:val="auto"/>
          <w:szCs w:val="24"/>
          <w:highlight w:val="none"/>
          <w:u w:val="single"/>
          <w:lang w:val="en-US" w:eastAsia="zh-CN"/>
        </w:rPr>
        <w:t>30</w:t>
      </w:r>
      <w:r>
        <w:rPr>
          <w:rFonts w:hint="eastAsia"/>
          <w:color w:val="auto"/>
          <w:szCs w:val="24"/>
          <w:highlight w:val="none"/>
          <w:u w:val="single"/>
        </w:rPr>
        <w:t>分</w:t>
      </w:r>
      <w:r>
        <w:rPr>
          <w:rFonts w:hint="eastAsia"/>
          <w:color w:val="auto"/>
          <w:szCs w:val="24"/>
          <w:highlight w:val="none"/>
        </w:rPr>
        <w:t>（北京时间）前提交响应文件。</w:t>
      </w:r>
    </w:p>
    <w:p w14:paraId="14BBC92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一、项目基本情况</w:t>
      </w:r>
    </w:p>
    <w:p w14:paraId="21C6CB8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项目编号：</w:t>
      </w:r>
      <w:r>
        <w:rPr>
          <w:rFonts w:hint="eastAsia" w:ascii="宋体" w:hAnsi="宋体" w:cs="宋体"/>
          <w:color w:val="auto"/>
          <w:kern w:val="0"/>
          <w:sz w:val="24"/>
          <w:szCs w:val="24"/>
          <w:highlight w:val="none"/>
          <w:lang w:eastAsia="zh-CN"/>
        </w:rPr>
        <w:t>YKG2024JDB247</w:t>
      </w:r>
    </w:p>
    <w:p w14:paraId="70B60F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color w:val="auto"/>
          <w:sz w:val="24"/>
          <w:szCs w:val="24"/>
          <w:highlight w:val="none"/>
          <w:u w:val="none"/>
          <w:lang w:val="en-US" w:eastAsia="zh-CN"/>
        </w:rPr>
      </w:pPr>
      <w:r>
        <w:rPr>
          <w:rFonts w:hint="eastAsia" w:ascii="宋体" w:hAnsi="宋体" w:cs="宋体"/>
          <w:color w:val="auto"/>
          <w:kern w:val="0"/>
          <w:sz w:val="24"/>
          <w:szCs w:val="24"/>
          <w:highlight w:val="none"/>
        </w:rPr>
        <w:t>项目名称：</w:t>
      </w:r>
      <w:r>
        <w:rPr>
          <w:rFonts w:hint="eastAsia" w:ascii="宋体" w:hAnsi="宋体" w:cs="Times New Roman"/>
          <w:color w:val="auto"/>
          <w:sz w:val="24"/>
          <w:szCs w:val="24"/>
          <w:highlight w:val="none"/>
          <w:u w:val="none"/>
          <w:lang w:val="en-US" w:eastAsia="zh-CN"/>
        </w:rPr>
        <w:t>如东县阳光岛应急仓库应急物资采购项目</w:t>
      </w:r>
    </w:p>
    <w:p w14:paraId="2E9A748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采购方式：£竞争性谈判 £竞争性磋商 √询价</w:t>
      </w:r>
    </w:p>
    <w:p w14:paraId="662EA72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预算金</w:t>
      </w:r>
      <w:r>
        <w:rPr>
          <w:rFonts w:hint="eastAsia" w:ascii="宋体" w:hAnsi="宋体" w:eastAsia="宋体" w:cs="宋体"/>
          <w:color w:val="auto"/>
          <w:kern w:val="0"/>
          <w:sz w:val="24"/>
          <w:szCs w:val="24"/>
          <w:highlight w:val="none"/>
        </w:rPr>
        <w:t>额：</w:t>
      </w:r>
      <w:r>
        <w:rPr>
          <w:rFonts w:hint="eastAsia" w:ascii="宋体" w:hAnsi="宋体" w:cs="宋体"/>
          <w:color w:val="auto"/>
          <w:kern w:val="0"/>
          <w:sz w:val="24"/>
          <w:szCs w:val="24"/>
          <w:highlight w:val="none"/>
          <w:lang w:val="en-US" w:eastAsia="zh-CN"/>
        </w:rPr>
        <w:t>58000.00</w:t>
      </w:r>
      <w:r>
        <w:rPr>
          <w:rFonts w:hint="eastAsia" w:ascii="宋体" w:hAnsi="宋体" w:eastAsia="宋体" w:cs="宋体"/>
          <w:color w:val="auto"/>
          <w:kern w:val="0"/>
          <w:sz w:val="24"/>
          <w:szCs w:val="24"/>
          <w:highlight w:val="none"/>
        </w:rPr>
        <w:t>元。</w:t>
      </w:r>
    </w:p>
    <w:p w14:paraId="2867C37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各投标单位书面投标文件中</w:t>
      </w:r>
      <w:r>
        <w:rPr>
          <w:rFonts w:hint="eastAsia" w:ascii="宋体" w:hAnsi="宋体" w:cs="宋体"/>
          <w:color w:val="auto"/>
          <w:kern w:val="0"/>
          <w:sz w:val="24"/>
          <w:szCs w:val="24"/>
          <w:highlight w:val="none"/>
        </w:rPr>
        <w:t>的投标总价低于（不含等于）</w:t>
      </w:r>
      <w:r>
        <w:rPr>
          <w:rFonts w:hint="eastAsia" w:ascii="宋体" w:hAnsi="宋体" w:cs="宋体"/>
          <w:color w:val="auto"/>
          <w:kern w:val="0"/>
          <w:sz w:val="24"/>
          <w:szCs w:val="24"/>
          <w:highlight w:val="none"/>
          <w:lang w:val="en-US" w:eastAsia="zh-CN"/>
        </w:rPr>
        <w:t>预算价</w:t>
      </w:r>
      <w:r>
        <w:rPr>
          <w:rFonts w:hint="eastAsia" w:ascii="宋体" w:hAnsi="宋体" w:cs="宋体"/>
          <w:color w:val="auto"/>
          <w:kern w:val="0"/>
          <w:sz w:val="24"/>
          <w:szCs w:val="24"/>
          <w:highlight w:val="none"/>
        </w:rPr>
        <w:t>的为有效报价，否则视为无效报价，作废标处理。</w:t>
      </w:r>
    </w:p>
    <w:p w14:paraId="3C23456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采购需求：</w:t>
      </w:r>
      <w:r>
        <w:rPr>
          <w:rFonts w:hint="eastAsia" w:ascii="宋体" w:hAnsi="宋体" w:cs="Times New Roman"/>
          <w:color w:val="auto"/>
          <w:sz w:val="24"/>
          <w:szCs w:val="24"/>
          <w:highlight w:val="none"/>
          <w:u w:val="none"/>
          <w:lang w:val="en-US" w:eastAsia="zh-CN"/>
        </w:rPr>
        <w:t>如东县阳光岛应急仓库应急物资采购项目</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吸油毡、</w:t>
      </w:r>
      <w:r>
        <w:rPr>
          <w:rFonts w:hint="eastAsia" w:ascii="宋体" w:hAnsi="宋体" w:eastAsia="宋体" w:cs="宋体"/>
          <w:b w:val="0"/>
          <w:bCs/>
          <w:snapToGrid w:val="0"/>
          <w:color w:val="auto"/>
          <w:sz w:val="24"/>
          <w:szCs w:val="24"/>
          <w:highlight w:val="none"/>
          <w:vertAlign w:val="baseline"/>
          <w:lang w:val="en-US" w:eastAsia="zh-CN"/>
        </w:rPr>
        <w:t>液态有机化学品吸收剂</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 xml:space="preserve">具体详见“第二部分 </w:t>
      </w:r>
      <w:r>
        <w:rPr>
          <w:rFonts w:hint="eastAsia" w:ascii="宋体" w:hAnsi="宋体" w:cs="宋体"/>
          <w:color w:val="auto"/>
          <w:kern w:val="0"/>
          <w:sz w:val="24"/>
          <w:szCs w:val="24"/>
          <w:highlight w:val="none"/>
          <w:lang w:val="en-US" w:eastAsia="zh-CN"/>
        </w:rPr>
        <w:t>采购需求</w:t>
      </w:r>
      <w:r>
        <w:rPr>
          <w:rFonts w:hint="eastAsia" w:ascii="宋体" w:hAnsi="宋体" w:cs="宋体"/>
          <w:color w:val="auto"/>
          <w:kern w:val="0"/>
          <w:sz w:val="24"/>
          <w:szCs w:val="24"/>
          <w:highlight w:val="none"/>
        </w:rPr>
        <w:t>”。</w:t>
      </w:r>
    </w:p>
    <w:p w14:paraId="48B214B8">
      <w:pPr>
        <w:keepNext w:val="0"/>
        <w:keepLines w:val="0"/>
        <w:pageBreakBefore w:val="0"/>
        <w:kinsoku/>
        <w:wordWrap/>
        <w:overflowPunct/>
        <w:topLinePunct w:val="0"/>
        <w:bidi w:val="0"/>
        <w:snapToGrid/>
        <w:spacing w:line="460" w:lineRule="exact"/>
        <w:ind w:firstLine="480" w:firstLineChars="200"/>
        <w:textAlignment w:val="auto"/>
        <w:rPr>
          <w:rFonts w:hint="default"/>
          <w:color w:val="auto"/>
          <w:highlight w:val="none"/>
          <w:lang w:val="en-US" w:eastAsia="zh-CN"/>
        </w:rPr>
      </w:pPr>
      <w:r>
        <w:rPr>
          <w:rFonts w:hint="eastAsia" w:ascii="宋体" w:hAnsi="宋体" w:cs="宋体"/>
          <w:bCs/>
          <w:color w:val="auto"/>
          <w:sz w:val="24"/>
          <w:szCs w:val="24"/>
          <w:highlight w:val="none"/>
        </w:rPr>
        <w:t>供货期：</w:t>
      </w:r>
      <w:r>
        <w:rPr>
          <w:rFonts w:hint="eastAsia" w:ascii="宋体" w:hAnsi="宋体" w:cs="宋体"/>
          <w:bCs/>
          <w:color w:val="auto"/>
          <w:sz w:val="24"/>
          <w:szCs w:val="24"/>
          <w:highlight w:val="none"/>
        </w:rPr>
        <w:t>采购供货合同签订之日起</w:t>
      </w:r>
      <w:r>
        <w:rPr>
          <w:rFonts w:hint="eastAsia" w:ascii="宋体" w:hAnsi="宋体"/>
          <w:b/>
          <w:bCs/>
          <w:color w:val="auto"/>
          <w:sz w:val="24"/>
          <w:highlight w:val="none"/>
          <w:lang w:val="en-US" w:eastAsia="zh-CN"/>
        </w:rPr>
        <w:t>30日历天</w:t>
      </w:r>
      <w:r>
        <w:rPr>
          <w:rFonts w:hint="eastAsia" w:ascii="宋体" w:hAnsi="宋体"/>
          <w:b/>
          <w:bCs/>
          <w:color w:val="auto"/>
          <w:sz w:val="24"/>
          <w:highlight w:val="none"/>
        </w:rPr>
        <w:t>内</w:t>
      </w:r>
      <w:r>
        <w:rPr>
          <w:rFonts w:hint="eastAsia" w:ascii="宋体" w:hAnsi="宋体"/>
          <w:color w:val="auto"/>
          <w:sz w:val="24"/>
          <w:highlight w:val="none"/>
        </w:rPr>
        <w:t>供</w:t>
      </w:r>
      <w:r>
        <w:rPr>
          <w:rFonts w:hint="eastAsia" w:ascii="宋体" w:hAnsi="宋体" w:cs="宋体"/>
          <w:bCs/>
          <w:color w:val="auto"/>
          <w:sz w:val="24"/>
          <w:szCs w:val="24"/>
          <w:highlight w:val="none"/>
        </w:rPr>
        <w:t>货至</w:t>
      </w:r>
      <w:r>
        <w:rPr>
          <w:rFonts w:hint="eastAsia" w:ascii="宋体" w:hAnsi="宋体" w:cs="宋体"/>
          <w:bCs/>
          <w:color w:val="auto"/>
          <w:sz w:val="24"/>
          <w:szCs w:val="24"/>
          <w:highlight w:val="none"/>
        </w:rPr>
        <w:t>采购人指定地点</w:t>
      </w:r>
      <w:r>
        <w:rPr>
          <w:rFonts w:hint="eastAsia" w:ascii="宋体" w:hAnsi="宋体"/>
          <w:color w:val="auto"/>
          <w:sz w:val="24"/>
          <w:highlight w:val="none"/>
        </w:rPr>
        <w:t>并接受验收</w:t>
      </w:r>
      <w:r>
        <w:rPr>
          <w:rFonts w:hint="eastAsia" w:ascii="宋体" w:hAnsi="宋体" w:cs="宋体"/>
          <w:bCs/>
          <w:color w:val="auto"/>
          <w:sz w:val="24"/>
          <w:szCs w:val="24"/>
          <w:highlight w:val="none"/>
        </w:rPr>
        <w:t>。</w:t>
      </w:r>
    </w:p>
    <w:p w14:paraId="797261D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二、申请人的资格要求：（必须同时符合以下条件）</w:t>
      </w:r>
    </w:p>
    <w:p w14:paraId="40E60830">
      <w:pPr>
        <w:pStyle w:val="3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color w:val="auto"/>
          <w:szCs w:val="24"/>
          <w:highlight w:val="none"/>
        </w:rPr>
      </w:pPr>
      <w:r>
        <w:rPr>
          <w:rFonts w:hint="eastAsia"/>
          <w:color w:val="auto"/>
          <w:szCs w:val="24"/>
          <w:highlight w:val="none"/>
        </w:rPr>
        <w:t>1、满足《中华人民共和国政府采购法》第二十二条规定；</w:t>
      </w:r>
    </w:p>
    <w:p w14:paraId="5711ED2F">
      <w:pPr>
        <w:pStyle w:val="3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color w:val="auto"/>
          <w:szCs w:val="24"/>
          <w:highlight w:val="none"/>
        </w:rPr>
      </w:pPr>
      <w:r>
        <w:rPr>
          <w:rFonts w:hint="eastAsia"/>
          <w:color w:val="auto"/>
          <w:szCs w:val="24"/>
          <w:highlight w:val="none"/>
        </w:rPr>
        <w:t>2、未被“信用中国”网站列入失信被执行人、重大税收违法案件当事人名单、政府采购严重失信行为记录名单；</w:t>
      </w:r>
    </w:p>
    <w:p w14:paraId="611330B6">
      <w:pPr>
        <w:pStyle w:val="3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color w:val="auto"/>
          <w:szCs w:val="24"/>
          <w:highlight w:val="none"/>
        </w:rPr>
      </w:pPr>
      <w:r>
        <w:rPr>
          <w:rFonts w:hint="eastAsia"/>
          <w:color w:val="auto"/>
          <w:szCs w:val="24"/>
          <w:highlight w:val="none"/>
        </w:rPr>
        <w:t>3、本项目的特定资格要求：</w:t>
      </w:r>
    </w:p>
    <w:p w14:paraId="77470E52">
      <w:pPr>
        <w:pStyle w:val="3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default"/>
          <w:color w:val="auto"/>
          <w:szCs w:val="24"/>
          <w:highlight w:val="none"/>
          <w:lang w:val="en-US" w:eastAsia="zh-CN"/>
        </w:rPr>
      </w:pPr>
      <w:r>
        <w:rPr>
          <w:rFonts w:hint="eastAsia" w:cs="Arial"/>
          <w:color w:val="auto"/>
          <w:sz w:val="24"/>
          <w:szCs w:val="24"/>
          <w:highlight w:val="none"/>
          <w:lang w:val="en-US" w:eastAsia="zh-CN"/>
        </w:rPr>
        <w:t>3.1投标人自2021年1月1日以来（以合同签订日期为准）具有溢油应急物资业绩。须提供合同。</w:t>
      </w:r>
    </w:p>
    <w:p w14:paraId="6A791E3A">
      <w:pPr>
        <w:pStyle w:val="3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color w:val="auto"/>
          <w:szCs w:val="24"/>
          <w:highlight w:val="none"/>
        </w:rPr>
      </w:pPr>
      <w:r>
        <w:rPr>
          <w:rFonts w:hint="eastAsia"/>
          <w:color w:val="auto"/>
          <w:szCs w:val="24"/>
          <w:highlight w:val="none"/>
        </w:rPr>
        <w:t>4、落实政府采购政策需满足的资格要求：无；</w:t>
      </w:r>
    </w:p>
    <w:p w14:paraId="1F415EA0">
      <w:pPr>
        <w:pStyle w:val="3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color w:val="auto"/>
          <w:szCs w:val="24"/>
          <w:highlight w:val="none"/>
        </w:rPr>
      </w:pPr>
      <w:r>
        <w:rPr>
          <w:rFonts w:hint="eastAsia"/>
          <w:color w:val="auto"/>
          <w:szCs w:val="24"/>
          <w:highlight w:val="none"/>
        </w:rPr>
        <w:t>5、本次招标不接受联合体投标。</w:t>
      </w:r>
    </w:p>
    <w:p w14:paraId="6CA48FA6">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2" w:firstLineChars="200"/>
        <w:textAlignment w:val="auto"/>
        <w:rPr>
          <w:rFonts w:hint="eastAsia"/>
          <w:b/>
          <w:color w:val="auto"/>
          <w:szCs w:val="24"/>
          <w:highlight w:val="none"/>
        </w:rPr>
      </w:pPr>
      <w:r>
        <w:rPr>
          <w:rFonts w:hint="eastAsia"/>
          <w:b/>
          <w:color w:val="auto"/>
          <w:szCs w:val="24"/>
          <w:highlight w:val="none"/>
        </w:rPr>
        <w:t>三、获取采购文件</w:t>
      </w:r>
    </w:p>
    <w:p w14:paraId="3B297E4A">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rPr>
        <w:t>获取时间：202</w:t>
      </w:r>
      <w:r>
        <w:rPr>
          <w:rFonts w:hint="eastAsia"/>
          <w:color w:val="auto"/>
          <w:szCs w:val="24"/>
          <w:highlight w:val="none"/>
          <w:lang w:val="en-US" w:eastAsia="zh-CN"/>
        </w:rPr>
        <w:t>5</w:t>
      </w:r>
      <w:r>
        <w:rPr>
          <w:rFonts w:hint="eastAsia"/>
          <w:color w:val="auto"/>
          <w:szCs w:val="24"/>
          <w:highlight w:val="none"/>
        </w:rPr>
        <w:t>年</w:t>
      </w:r>
      <w:r>
        <w:rPr>
          <w:rFonts w:hint="eastAsia"/>
          <w:color w:val="auto"/>
          <w:szCs w:val="24"/>
          <w:highlight w:val="none"/>
          <w:lang w:val="en-US" w:eastAsia="zh-CN"/>
        </w:rPr>
        <w:t>01</w:t>
      </w:r>
      <w:r>
        <w:rPr>
          <w:rFonts w:hint="eastAsia"/>
          <w:color w:val="auto"/>
          <w:szCs w:val="24"/>
          <w:highlight w:val="none"/>
        </w:rPr>
        <w:t>月</w:t>
      </w:r>
      <w:r>
        <w:rPr>
          <w:rFonts w:hint="eastAsia"/>
          <w:color w:val="auto"/>
          <w:szCs w:val="24"/>
          <w:highlight w:val="none"/>
          <w:lang w:val="en-US" w:eastAsia="zh-CN"/>
        </w:rPr>
        <w:t>15</w:t>
      </w:r>
      <w:r>
        <w:rPr>
          <w:rFonts w:hint="eastAsia"/>
          <w:color w:val="auto"/>
          <w:szCs w:val="24"/>
          <w:highlight w:val="none"/>
        </w:rPr>
        <w:t>日至202</w:t>
      </w:r>
      <w:r>
        <w:rPr>
          <w:rFonts w:hint="eastAsia"/>
          <w:color w:val="auto"/>
          <w:szCs w:val="24"/>
          <w:highlight w:val="none"/>
          <w:lang w:val="en-US" w:eastAsia="zh-CN"/>
        </w:rPr>
        <w:t>5</w:t>
      </w:r>
      <w:r>
        <w:rPr>
          <w:rFonts w:hint="eastAsia"/>
          <w:color w:val="auto"/>
          <w:szCs w:val="24"/>
          <w:highlight w:val="none"/>
        </w:rPr>
        <w:t>年</w:t>
      </w:r>
      <w:r>
        <w:rPr>
          <w:rFonts w:hint="eastAsia"/>
          <w:color w:val="auto"/>
          <w:szCs w:val="24"/>
          <w:highlight w:val="none"/>
          <w:lang w:val="en-US" w:eastAsia="zh-CN"/>
        </w:rPr>
        <w:t>01</w:t>
      </w:r>
      <w:r>
        <w:rPr>
          <w:rFonts w:hint="eastAsia"/>
          <w:color w:val="auto"/>
          <w:szCs w:val="24"/>
          <w:highlight w:val="none"/>
        </w:rPr>
        <w:t>月</w:t>
      </w:r>
      <w:r>
        <w:rPr>
          <w:rFonts w:hint="eastAsia"/>
          <w:color w:val="auto"/>
          <w:szCs w:val="24"/>
          <w:highlight w:val="none"/>
          <w:lang w:val="en-US" w:eastAsia="zh-CN"/>
        </w:rPr>
        <w:t>22</w:t>
      </w:r>
      <w:r>
        <w:rPr>
          <w:rFonts w:hint="eastAsia"/>
          <w:color w:val="auto"/>
          <w:szCs w:val="24"/>
          <w:highlight w:val="none"/>
        </w:rPr>
        <w:t>日。</w:t>
      </w:r>
    </w:p>
    <w:p w14:paraId="63DDBE52">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rPr>
        <w:t>获取方式：</w:t>
      </w:r>
      <w:r>
        <w:rPr>
          <w:rFonts w:hint="eastAsia" w:ascii="宋体" w:hAnsi="宋体" w:eastAsia="宋体" w:cs="宋体"/>
          <w:color w:val="auto"/>
          <w:sz w:val="24"/>
          <w:szCs w:val="24"/>
          <w:highlight w:val="none"/>
        </w:rPr>
        <w:t>由各投标人在“</w:t>
      </w:r>
      <w:r>
        <w:rPr>
          <w:rFonts w:hint="eastAsia" w:cs="宋体"/>
          <w:color w:val="auto"/>
          <w:sz w:val="24"/>
          <w:szCs w:val="24"/>
          <w:highlight w:val="none"/>
          <w:lang w:eastAsia="zh-CN"/>
        </w:rPr>
        <w:t>如东县限额交易网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、“如东县区镇限额电子招投标平台”</w:t>
      </w:r>
      <w:r>
        <w:rPr>
          <w:rFonts w:hint="eastAsia" w:ascii="宋体" w:hAnsi="宋体" w:eastAsia="宋体" w:cs="宋体"/>
          <w:color w:val="auto"/>
          <w:sz w:val="24"/>
          <w:szCs w:val="24"/>
          <w:highlight w:val="none"/>
        </w:rPr>
        <w:t>自行下载</w:t>
      </w:r>
      <w:r>
        <w:rPr>
          <w:rFonts w:hint="eastAsia"/>
          <w:color w:val="auto"/>
          <w:szCs w:val="24"/>
          <w:highlight w:val="none"/>
        </w:rPr>
        <w:t>。</w:t>
      </w:r>
    </w:p>
    <w:p w14:paraId="29554F90">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2" w:firstLineChars="200"/>
        <w:textAlignment w:val="auto"/>
        <w:rPr>
          <w:rFonts w:hint="eastAsia"/>
          <w:b/>
          <w:color w:val="auto"/>
          <w:szCs w:val="24"/>
          <w:highlight w:val="none"/>
        </w:rPr>
      </w:pPr>
      <w:r>
        <w:rPr>
          <w:rFonts w:hint="eastAsia"/>
          <w:b/>
          <w:color w:val="auto"/>
          <w:szCs w:val="24"/>
          <w:highlight w:val="none"/>
        </w:rPr>
        <w:t>四、</w:t>
      </w:r>
      <w:r>
        <w:rPr>
          <w:rFonts w:hint="eastAsia" w:ascii="宋体" w:hAnsi="宋体" w:eastAsia="宋体" w:cs="宋体"/>
          <w:b/>
          <w:bCs w:val="0"/>
          <w:color w:val="auto"/>
          <w:sz w:val="24"/>
          <w:szCs w:val="24"/>
          <w:highlight w:val="none"/>
        </w:rPr>
        <w:t>提交投标文件截止时间、开标时间和地点</w:t>
      </w:r>
    </w:p>
    <w:p w14:paraId="6CCB30C5">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rPr>
        <w:t>202</w:t>
      </w:r>
      <w:r>
        <w:rPr>
          <w:rFonts w:hint="eastAsia"/>
          <w:color w:val="auto"/>
          <w:szCs w:val="24"/>
          <w:highlight w:val="none"/>
          <w:lang w:val="en-US" w:eastAsia="zh-CN"/>
        </w:rPr>
        <w:t>5</w:t>
      </w:r>
      <w:r>
        <w:rPr>
          <w:rFonts w:hint="eastAsia"/>
          <w:color w:val="auto"/>
          <w:szCs w:val="24"/>
          <w:highlight w:val="none"/>
        </w:rPr>
        <w:t>年</w:t>
      </w:r>
      <w:r>
        <w:rPr>
          <w:rFonts w:hint="eastAsia"/>
          <w:color w:val="auto"/>
          <w:szCs w:val="24"/>
          <w:highlight w:val="none"/>
          <w:lang w:val="en-US" w:eastAsia="zh-CN"/>
        </w:rPr>
        <w:t>01</w:t>
      </w:r>
      <w:r>
        <w:rPr>
          <w:rFonts w:hint="eastAsia"/>
          <w:color w:val="auto"/>
          <w:szCs w:val="24"/>
          <w:highlight w:val="none"/>
        </w:rPr>
        <w:t>月</w:t>
      </w:r>
      <w:r>
        <w:rPr>
          <w:rFonts w:hint="eastAsia"/>
          <w:color w:val="auto"/>
          <w:szCs w:val="24"/>
          <w:highlight w:val="none"/>
          <w:lang w:val="en-US" w:eastAsia="zh-CN"/>
        </w:rPr>
        <w:t>22</w:t>
      </w:r>
      <w:r>
        <w:rPr>
          <w:rFonts w:hint="eastAsia"/>
          <w:color w:val="auto"/>
          <w:szCs w:val="24"/>
          <w:highlight w:val="none"/>
        </w:rPr>
        <w:t>日</w:t>
      </w:r>
      <w:r>
        <w:rPr>
          <w:rFonts w:hint="eastAsia"/>
          <w:color w:val="auto"/>
          <w:szCs w:val="24"/>
          <w:highlight w:val="none"/>
          <w:lang w:val="en-US" w:eastAsia="zh-CN"/>
        </w:rPr>
        <w:t>下午14</w:t>
      </w:r>
      <w:r>
        <w:rPr>
          <w:rFonts w:hint="eastAsia"/>
          <w:color w:val="auto"/>
          <w:szCs w:val="24"/>
          <w:highlight w:val="none"/>
        </w:rPr>
        <w:t>时</w:t>
      </w:r>
      <w:r>
        <w:rPr>
          <w:rFonts w:hint="eastAsia"/>
          <w:color w:val="auto"/>
          <w:szCs w:val="24"/>
          <w:highlight w:val="none"/>
          <w:lang w:val="en-US" w:eastAsia="zh-CN"/>
        </w:rPr>
        <w:t>30</w:t>
      </w:r>
      <w:r>
        <w:rPr>
          <w:rFonts w:hint="eastAsia"/>
          <w:color w:val="auto"/>
          <w:szCs w:val="24"/>
          <w:highlight w:val="none"/>
        </w:rPr>
        <w:t>分</w:t>
      </w:r>
    </w:p>
    <w:p w14:paraId="7343C870">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b/>
          <w:color w:val="auto"/>
          <w:szCs w:val="24"/>
          <w:highlight w:val="none"/>
        </w:rPr>
      </w:pPr>
      <w:r>
        <w:rPr>
          <w:rFonts w:hint="eastAsia" w:ascii="宋体" w:hAnsi="宋体" w:eastAsia="宋体" w:cs="宋体"/>
          <w:b w:val="0"/>
          <w:bCs/>
          <w:color w:val="auto"/>
          <w:sz w:val="24"/>
          <w:szCs w:val="24"/>
          <w:highlight w:val="none"/>
        </w:rPr>
        <w:t>地点：</w:t>
      </w:r>
      <w:r>
        <w:rPr>
          <w:rFonts w:hint="eastAsia" w:ascii="宋体" w:hAnsi="宋体" w:eastAsia="宋体" w:cs="宋体"/>
          <w:bCs/>
          <w:color w:val="auto"/>
          <w:sz w:val="24"/>
          <w:szCs w:val="24"/>
          <w:highlight w:val="none"/>
          <w:lang w:val="en-US" w:eastAsia="zh-CN"/>
        </w:rPr>
        <w:t>本项目采用不见面招投标，开标当日，投标人不必抵达开标现场，仅需在任意地点通过“</w:t>
      </w:r>
      <w:r>
        <w:rPr>
          <w:rFonts w:hint="eastAsia" w:ascii="宋体" w:hAnsi="宋体" w:eastAsia="宋体" w:cs="宋体"/>
          <w:bCs/>
          <w:color w:val="auto"/>
          <w:sz w:val="24"/>
          <w:szCs w:val="24"/>
          <w:highlight w:val="none"/>
          <w:lang w:eastAsia="zh-CN"/>
        </w:rPr>
        <w:t>如东县区镇限额电子招投标平台</w:t>
      </w:r>
      <w:r>
        <w:rPr>
          <w:rFonts w:hint="eastAsia" w:ascii="宋体" w:hAnsi="宋体" w:eastAsia="宋体" w:cs="宋体"/>
          <w:bCs/>
          <w:color w:val="auto"/>
          <w:sz w:val="24"/>
          <w:szCs w:val="24"/>
          <w:highlight w:val="none"/>
          <w:lang w:val="en-US" w:eastAsia="zh-CN"/>
        </w:rPr>
        <w:t>-项目投标方”参加开标会议。</w:t>
      </w:r>
    </w:p>
    <w:p w14:paraId="64E288B5">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2" w:firstLineChars="200"/>
        <w:textAlignment w:val="auto"/>
        <w:rPr>
          <w:rFonts w:hint="eastAsia"/>
          <w:b/>
          <w:color w:val="auto"/>
          <w:szCs w:val="24"/>
          <w:highlight w:val="none"/>
        </w:rPr>
      </w:pPr>
      <w:r>
        <w:rPr>
          <w:rFonts w:hint="eastAsia"/>
          <w:b/>
          <w:color w:val="auto"/>
          <w:szCs w:val="24"/>
          <w:highlight w:val="none"/>
        </w:rPr>
        <w:t>五、公告期限</w:t>
      </w:r>
    </w:p>
    <w:p w14:paraId="4B918FC6">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rPr>
        <w:t>自本公告发布之日起3个工作日。</w:t>
      </w:r>
    </w:p>
    <w:p w14:paraId="59FC1C7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六、其他补充事宜：</w:t>
      </w:r>
    </w:p>
    <w:p w14:paraId="26F03B8D">
      <w:pPr>
        <w:pStyle w:val="3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lang w:val="en-US" w:eastAsia="zh-CN"/>
        </w:rPr>
        <w:t>6</w:t>
      </w:r>
      <w:r>
        <w:rPr>
          <w:rFonts w:hint="eastAsia"/>
          <w:color w:val="auto"/>
          <w:szCs w:val="24"/>
          <w:highlight w:val="none"/>
        </w:rPr>
        <w:t>.1本项目采用不见面招投标，开标当日，投标人不必抵达开标现场，仅需在任意地点通过“如东县区镇限额电子招投标平台-项目投标方”参加开标会议（</w:t>
      </w:r>
      <w:r>
        <w:rPr>
          <w:rFonts w:hint="eastAsia" w:ascii="宋体" w:hAnsi="宋体" w:cs="宋体"/>
          <w:color w:val="auto"/>
          <w:kern w:val="0"/>
          <w:sz w:val="24"/>
          <w:highlight w:val="none"/>
        </w:rPr>
        <w:t>不见面开标的系统网址为</w:t>
      </w:r>
      <w:r>
        <w:rPr>
          <w:rFonts w:hint="eastAsia" w:cs="宋体"/>
          <w:color w:val="auto"/>
          <w:kern w:val="0"/>
          <w:sz w:val="24"/>
          <w:highlight w:val="none"/>
          <w:lang w:eastAsia="zh-CN"/>
        </w:rPr>
        <w:t>http://www.rudong.net/</w:t>
      </w:r>
      <w:r>
        <w:rPr>
          <w:rFonts w:hint="eastAsia"/>
          <w:color w:val="auto"/>
          <w:szCs w:val="24"/>
          <w:highlight w:val="none"/>
        </w:rPr>
        <w:t>）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w:t>
      </w:r>
    </w:p>
    <w:p w14:paraId="5AF38F50">
      <w:pPr>
        <w:pStyle w:val="3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lang w:val="en-US" w:eastAsia="zh-CN"/>
        </w:rPr>
        <w:t>6</w:t>
      </w:r>
      <w:r>
        <w:rPr>
          <w:rFonts w:hint="eastAsia"/>
          <w:color w:val="auto"/>
          <w:szCs w:val="24"/>
          <w:highlight w:val="none"/>
        </w:rPr>
        <w:t>.2解密时间：投标人解密限定在采购人确定解密时间后</w:t>
      </w:r>
      <w:r>
        <w:rPr>
          <w:rFonts w:hint="eastAsia"/>
          <w:b/>
          <w:bCs/>
          <w:color w:val="auto"/>
          <w:szCs w:val="24"/>
          <w:highlight w:val="none"/>
        </w:rPr>
        <w:t>半小时</w:t>
      </w:r>
      <w:r>
        <w:rPr>
          <w:rFonts w:hint="eastAsia"/>
          <w:color w:val="auto"/>
          <w:szCs w:val="24"/>
          <w:highlight w:val="none"/>
        </w:rPr>
        <w:t>内完成（如因投标人个人原因，未在限定时间内完成解密的，将退回其投标文件，不得再参加本项目的投标）。（友情提醒：请各投标人在投标之前熟悉操作手册，及时安装好相关软件系统，并做好电脑环境检查，以免在投标时造成操作失误等现象无法投标 ）。</w:t>
      </w:r>
    </w:p>
    <w:p w14:paraId="52A4AE94">
      <w:pPr>
        <w:pStyle w:val="3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color w:val="auto"/>
          <w:szCs w:val="24"/>
          <w:highlight w:val="none"/>
        </w:rPr>
      </w:pPr>
      <w:r>
        <w:rPr>
          <w:rFonts w:hint="eastAsia"/>
          <w:color w:val="auto"/>
          <w:szCs w:val="24"/>
          <w:highlight w:val="none"/>
        </w:rPr>
        <w:t>公共资源交易平台技术服务联系电话：</w:t>
      </w:r>
      <w:r>
        <w:rPr>
          <w:rFonts w:hint="eastAsia"/>
          <w:color w:val="auto"/>
          <w:szCs w:val="24"/>
          <w:highlight w:val="none"/>
          <w:lang w:eastAsia="zh-CN"/>
        </w:rPr>
        <w:t>84800088</w:t>
      </w:r>
      <w:r>
        <w:rPr>
          <w:rFonts w:hint="eastAsia"/>
          <w:color w:val="auto"/>
          <w:szCs w:val="24"/>
          <w:highlight w:val="none"/>
        </w:rPr>
        <w:t>。</w:t>
      </w:r>
    </w:p>
    <w:p w14:paraId="5D0002D7">
      <w:pPr>
        <w:pStyle w:val="3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cs="宋体"/>
          <w:bCs/>
          <w:color w:val="auto"/>
          <w:sz w:val="24"/>
          <w:szCs w:val="24"/>
          <w:highlight w:val="none"/>
        </w:rPr>
      </w:pPr>
      <w:r>
        <w:rPr>
          <w:rFonts w:hint="eastAsia"/>
          <w:color w:val="auto"/>
          <w:szCs w:val="24"/>
          <w:highlight w:val="none"/>
          <w:lang w:val="en-US" w:eastAsia="zh-CN"/>
        </w:rPr>
        <w:t>6</w:t>
      </w:r>
      <w:r>
        <w:rPr>
          <w:rFonts w:hint="eastAsia"/>
          <w:color w:val="auto"/>
          <w:szCs w:val="24"/>
          <w:highlight w:val="none"/>
        </w:rPr>
        <w:t>.3本项目采购文件及相关招标资料必须自行登录</w:t>
      </w:r>
      <w:r>
        <w:rPr>
          <w:rFonts w:hint="eastAsia" w:ascii="宋体" w:hAnsi="宋体" w:cs="宋体"/>
          <w:bCs/>
          <w:color w:val="auto"/>
          <w:sz w:val="24"/>
          <w:szCs w:val="24"/>
          <w:highlight w:val="none"/>
        </w:rPr>
        <w:t>如东县区镇限额电子招投标平台的项目投标方业务系统进行网上报名（即下载本项目采购文件及相关招标资料），否则拒收投标文件。</w:t>
      </w:r>
    </w:p>
    <w:p w14:paraId="0DF7EA7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.4本项目投标时不需要提供纸质投标文件。中标单位在确定中标后，必须提供</w:t>
      </w:r>
      <w:r>
        <w:rPr>
          <w:rFonts w:hint="eastAsia" w:ascii="宋体" w:hAnsi="宋体" w:cs="宋体"/>
          <w:bCs/>
          <w:color w:val="auto"/>
          <w:sz w:val="24"/>
          <w:szCs w:val="24"/>
          <w:highlight w:val="none"/>
          <w:lang w:val="en-US" w:eastAsia="zh-CN"/>
        </w:rPr>
        <w:t>伍</w:t>
      </w:r>
      <w:r>
        <w:rPr>
          <w:rFonts w:hint="eastAsia" w:ascii="宋体" w:hAnsi="宋体" w:cs="宋体"/>
          <w:bCs/>
          <w:color w:val="auto"/>
          <w:sz w:val="24"/>
          <w:szCs w:val="24"/>
          <w:highlight w:val="none"/>
        </w:rPr>
        <w:t>份使用系统打印出来（加盖公章）的完整的投标文件交招标代理（投标文件份数：正本壹份，副本</w:t>
      </w:r>
      <w:r>
        <w:rPr>
          <w:rFonts w:hint="eastAsia" w:ascii="宋体" w:hAnsi="宋体" w:cs="宋体"/>
          <w:bCs/>
          <w:color w:val="auto"/>
          <w:sz w:val="24"/>
          <w:szCs w:val="24"/>
          <w:highlight w:val="none"/>
          <w:lang w:val="en-US" w:eastAsia="zh-CN"/>
        </w:rPr>
        <w:t>肆</w:t>
      </w:r>
      <w:r>
        <w:rPr>
          <w:rFonts w:hint="eastAsia" w:ascii="宋体" w:hAnsi="宋体" w:cs="宋体"/>
          <w:bCs/>
          <w:color w:val="auto"/>
          <w:sz w:val="24"/>
          <w:szCs w:val="24"/>
          <w:highlight w:val="none"/>
        </w:rPr>
        <w:t>份</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PDF电子档壹份</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若未在规定时间内提交纸质投标文件的，将按投标须知“四.无效投标及废标情形”作无效标处置</w:t>
      </w:r>
      <w:r>
        <w:rPr>
          <w:rFonts w:hint="eastAsia" w:ascii="宋体" w:hAnsi="宋体" w:cs="宋体"/>
          <w:bCs/>
          <w:color w:val="auto"/>
          <w:sz w:val="24"/>
          <w:szCs w:val="24"/>
          <w:highlight w:val="none"/>
        </w:rPr>
        <w:t>。</w:t>
      </w:r>
    </w:p>
    <w:p w14:paraId="6643862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.5本次投标保证金，采购文件中涉及投标保证金的事项，均按免收投标保证金执行。</w:t>
      </w:r>
    </w:p>
    <w:p w14:paraId="293BB4ED">
      <w:pPr>
        <w:pStyle w:val="3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eastAsia="宋体"/>
          <w:b w:val="0"/>
          <w:bCs/>
          <w:color w:val="auto"/>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6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答复</w:t>
      </w:r>
      <w:r>
        <w:rPr>
          <w:rFonts w:hint="eastAsia"/>
          <w:b w:val="0"/>
          <w:bCs/>
          <w:color w:val="auto"/>
          <w:szCs w:val="24"/>
          <w:highlight w:val="none"/>
          <w:lang w:val="en-US" w:eastAsia="zh-CN"/>
        </w:rPr>
        <w:t>。</w:t>
      </w:r>
    </w:p>
    <w:p w14:paraId="1036600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、对本次采购提出询问，请按以下方式联系</w:t>
      </w:r>
    </w:p>
    <w:p w14:paraId="336832DC">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1、采购人信息</w:t>
      </w:r>
    </w:p>
    <w:p w14:paraId="3AEB7E6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名称：</w:t>
      </w:r>
      <w:r>
        <w:rPr>
          <w:rFonts w:hint="eastAsia" w:ascii="宋体" w:hAnsi="宋体" w:cs="宋体"/>
          <w:color w:val="auto"/>
          <w:kern w:val="0"/>
          <w:sz w:val="24"/>
          <w:highlight w:val="none"/>
          <w:lang w:eastAsia="zh-CN"/>
        </w:rPr>
        <w:t>江苏洋口港港务有限公司</w:t>
      </w:r>
    </w:p>
    <w:p w14:paraId="32BC36E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地址：</w:t>
      </w:r>
      <w:r>
        <w:rPr>
          <w:rFonts w:hint="eastAsia" w:ascii="宋体" w:hAnsi="宋体" w:eastAsia="宋体" w:cs="宋体"/>
          <w:b w:val="0"/>
          <w:bCs/>
          <w:color w:val="auto"/>
          <w:sz w:val="24"/>
          <w:szCs w:val="24"/>
          <w:highlight w:val="none"/>
          <w:lang w:val="en-US" w:eastAsia="zh-CN"/>
        </w:rPr>
        <w:t>如东洋口港经济开发区</w:t>
      </w:r>
    </w:p>
    <w:p w14:paraId="4D79DD48">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default" w:cs="宋体"/>
          <w:color w:val="auto"/>
          <w:kern w:val="0"/>
          <w:sz w:val="24"/>
          <w:highlight w:val="none"/>
          <w:lang w:val="en-US" w:eastAsia="zh-CN"/>
        </w:rPr>
      </w:pPr>
      <w:r>
        <w:rPr>
          <w:rFonts w:hint="eastAsia"/>
          <w:color w:val="auto"/>
          <w:szCs w:val="24"/>
          <w:highlight w:val="none"/>
          <w:shd w:val="clear" w:color="auto" w:fill="FFFFFF"/>
        </w:rPr>
        <w:t>联 系 人：</w:t>
      </w:r>
      <w:r>
        <w:rPr>
          <w:rFonts w:hint="eastAsia" w:cs="宋体"/>
          <w:color w:val="auto"/>
          <w:kern w:val="0"/>
          <w:sz w:val="24"/>
          <w:highlight w:val="none"/>
          <w:lang w:val="en-US" w:eastAsia="zh-CN"/>
        </w:rPr>
        <w:t>范工</w:t>
      </w:r>
    </w:p>
    <w:p w14:paraId="579CD653">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default" w:eastAsia="宋体"/>
          <w:color w:val="auto"/>
          <w:szCs w:val="24"/>
          <w:highlight w:val="none"/>
          <w:shd w:val="clear" w:color="auto" w:fill="FFFFFF"/>
          <w:lang w:val="en-US" w:eastAsia="zh-CN"/>
        </w:rPr>
      </w:pPr>
      <w:r>
        <w:rPr>
          <w:rFonts w:hint="eastAsia"/>
          <w:color w:val="auto"/>
          <w:szCs w:val="24"/>
          <w:highlight w:val="none"/>
          <w:shd w:val="clear" w:color="auto" w:fill="FFFFFF"/>
        </w:rPr>
        <w:t>联系方式：</w:t>
      </w:r>
      <w:r>
        <w:rPr>
          <w:rFonts w:hint="eastAsia" w:cs="宋体"/>
          <w:color w:val="auto"/>
          <w:kern w:val="0"/>
          <w:sz w:val="24"/>
          <w:highlight w:val="none"/>
          <w:lang w:val="en-US" w:eastAsia="zh-CN"/>
        </w:rPr>
        <w:t>15371726060</w:t>
      </w:r>
    </w:p>
    <w:p w14:paraId="460C1A95">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2" w:firstLineChars="200"/>
        <w:jc w:val="both"/>
        <w:textAlignment w:val="auto"/>
        <w:rPr>
          <w:rFonts w:hint="eastAsia"/>
          <w:b/>
          <w:color w:val="auto"/>
          <w:szCs w:val="24"/>
          <w:highlight w:val="none"/>
          <w:shd w:val="clear" w:color="auto" w:fill="FFFFFF"/>
        </w:rPr>
      </w:pPr>
      <w:r>
        <w:rPr>
          <w:rFonts w:hint="eastAsia"/>
          <w:b/>
          <w:color w:val="auto"/>
          <w:szCs w:val="24"/>
          <w:highlight w:val="none"/>
          <w:shd w:val="clear" w:color="auto" w:fill="FFFFFF"/>
        </w:rPr>
        <w:t>2、代理机构信息</w:t>
      </w:r>
    </w:p>
    <w:p w14:paraId="57892D41">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color w:val="auto"/>
          <w:szCs w:val="24"/>
          <w:highlight w:val="none"/>
          <w:shd w:val="clear" w:color="auto" w:fill="FFFFFF"/>
        </w:rPr>
      </w:pPr>
      <w:r>
        <w:rPr>
          <w:rFonts w:hint="eastAsia"/>
          <w:color w:val="auto"/>
          <w:szCs w:val="24"/>
          <w:highlight w:val="none"/>
          <w:shd w:val="clear" w:color="auto" w:fill="FFFFFF"/>
        </w:rPr>
        <w:t>单位：</w:t>
      </w:r>
      <w:r>
        <w:rPr>
          <w:rFonts w:hint="eastAsia"/>
          <w:color w:val="auto"/>
          <w:szCs w:val="24"/>
          <w:highlight w:val="none"/>
          <w:shd w:val="clear" w:color="auto" w:fill="FFFFFF"/>
          <w:lang w:eastAsia="zh-CN"/>
        </w:rPr>
        <w:t>江苏建达全过程工程咨询有限公司</w:t>
      </w:r>
    </w:p>
    <w:p w14:paraId="236F476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地址：</w:t>
      </w:r>
      <w:r>
        <w:rPr>
          <w:rFonts w:hint="eastAsia" w:ascii="宋体" w:hAnsi="宋体" w:eastAsia="宋体" w:cs="宋体"/>
          <w:b w:val="0"/>
          <w:bCs/>
          <w:color w:val="auto"/>
          <w:sz w:val="24"/>
          <w:szCs w:val="24"/>
          <w:highlight w:val="none"/>
          <w:lang w:val="en-US" w:eastAsia="zh-CN"/>
        </w:rPr>
        <w:t>如东洋口港经济开发区</w:t>
      </w:r>
    </w:p>
    <w:p w14:paraId="5A742937">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color w:val="auto"/>
          <w:szCs w:val="24"/>
          <w:highlight w:val="none"/>
          <w:shd w:val="clear" w:color="auto" w:fill="FFFFFF"/>
          <w:lang w:val="en-US" w:eastAsia="zh-CN"/>
        </w:rPr>
      </w:pPr>
      <w:r>
        <w:rPr>
          <w:rFonts w:hint="eastAsia"/>
          <w:color w:val="auto"/>
          <w:szCs w:val="24"/>
          <w:highlight w:val="none"/>
          <w:shd w:val="clear" w:color="auto" w:fill="FFFFFF"/>
        </w:rPr>
        <w:t>联 系 人：</w:t>
      </w:r>
      <w:r>
        <w:rPr>
          <w:rFonts w:hint="eastAsia"/>
          <w:color w:val="auto"/>
          <w:szCs w:val="24"/>
          <w:highlight w:val="none"/>
          <w:shd w:val="clear" w:color="auto" w:fill="FFFFFF"/>
          <w:lang w:val="en-US" w:eastAsia="zh-CN"/>
        </w:rPr>
        <w:t>耿工</w:t>
      </w:r>
    </w:p>
    <w:p w14:paraId="61CCC583">
      <w:pPr>
        <w:pStyle w:val="32"/>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eastAsia"/>
          <w:color w:val="auto"/>
          <w:szCs w:val="24"/>
          <w:highlight w:val="none"/>
          <w:shd w:val="clear" w:color="auto" w:fill="FFFFFF"/>
          <w:lang w:val="en-US" w:eastAsia="zh-CN"/>
        </w:rPr>
      </w:pPr>
      <w:r>
        <w:rPr>
          <w:rFonts w:hint="eastAsia"/>
          <w:color w:val="auto"/>
          <w:szCs w:val="24"/>
          <w:highlight w:val="none"/>
          <w:shd w:val="clear" w:color="auto" w:fill="FFFFFF"/>
        </w:rPr>
        <w:t>联系电话：</w:t>
      </w:r>
      <w:r>
        <w:rPr>
          <w:rFonts w:hint="eastAsia"/>
          <w:color w:val="auto"/>
          <w:szCs w:val="24"/>
          <w:highlight w:val="none"/>
          <w:shd w:val="clear" w:color="auto" w:fill="FFFFFF"/>
          <w:lang w:val="en-US" w:eastAsia="zh-CN"/>
        </w:rPr>
        <w:t>15162818355/18761700616</w:t>
      </w:r>
    </w:p>
    <w:p w14:paraId="48AF4F26">
      <w:pPr>
        <w:pStyle w:val="3"/>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cs="宋体"/>
          <w:b/>
          <w:bCs/>
          <w:color w:val="auto"/>
          <w:sz w:val="24"/>
          <w:szCs w:val="24"/>
          <w:highlight w:val="none"/>
          <w:shd w:val="clear" w:color="auto" w:fill="FFFFFF"/>
          <w:lang w:val="en-US" w:eastAsia="zh-CN"/>
        </w:rPr>
      </w:pPr>
    </w:p>
    <w:p w14:paraId="3C93083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717214F2">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38FB0FBC">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7BAE091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5922E6E4">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27D0EFD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6A906057">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575F369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1D9AFE14">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rightChars="0"/>
        <w:textAlignment w:val="auto"/>
        <w:rPr>
          <w:rFonts w:hint="default" w:cs="宋体"/>
          <w:color w:val="auto"/>
          <w:kern w:val="0"/>
          <w:sz w:val="24"/>
          <w:szCs w:val="24"/>
          <w:highlight w:val="none"/>
          <w:lang w:val="en-US" w:eastAsia="zh-CN"/>
        </w:rPr>
      </w:pPr>
    </w:p>
    <w:p w14:paraId="485E58E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340B0B9F">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649BD7A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43F5F36F">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2086090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2830D522">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2369755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19CB037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12BA41D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30C48A6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373B4C4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30AA7C2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default" w:cs="宋体"/>
          <w:color w:val="auto"/>
          <w:kern w:val="0"/>
          <w:sz w:val="24"/>
          <w:szCs w:val="24"/>
          <w:highlight w:val="none"/>
          <w:lang w:val="en-US" w:eastAsia="zh-CN"/>
        </w:rPr>
      </w:pPr>
    </w:p>
    <w:p w14:paraId="0DED328F">
      <w:pPr>
        <w:pStyle w:val="32"/>
        <w:shd w:val="clear" w:color="auto" w:fill="FFFFFF"/>
        <w:spacing w:before="0" w:beforeAutospacing="0" w:after="0" w:afterAutospacing="0" w:line="360" w:lineRule="auto"/>
        <w:ind w:firstLine="480" w:firstLineChars="200"/>
        <w:jc w:val="both"/>
        <w:rPr>
          <w:rFonts w:hint="eastAsia"/>
          <w:color w:val="auto"/>
          <w:szCs w:val="24"/>
          <w:highlight w:val="none"/>
          <w:shd w:val="clear" w:color="auto" w:fill="FFFFFF"/>
          <w:lang w:val="en-US" w:eastAsia="zh-CN"/>
        </w:rPr>
      </w:pPr>
    </w:p>
    <w:p w14:paraId="525540FF">
      <w:pPr>
        <w:pStyle w:val="32"/>
        <w:shd w:val="clear" w:color="auto" w:fill="FFFFFF"/>
        <w:spacing w:before="0" w:beforeAutospacing="0" w:after="0" w:afterAutospacing="0" w:line="360" w:lineRule="auto"/>
        <w:jc w:val="center"/>
        <w:rPr>
          <w:rFonts w:hint="eastAsia" w:eastAsia="宋体"/>
          <w:b/>
          <w:bCs/>
          <w:color w:val="auto"/>
          <w:sz w:val="30"/>
          <w:szCs w:val="30"/>
          <w:highlight w:val="none"/>
          <w:lang w:eastAsia="zh-CN"/>
        </w:rPr>
      </w:pPr>
      <w:r>
        <w:rPr>
          <w:rFonts w:hint="eastAsia"/>
          <w:b/>
          <w:bCs/>
          <w:color w:val="auto"/>
          <w:sz w:val="30"/>
          <w:szCs w:val="30"/>
          <w:highlight w:val="none"/>
        </w:rPr>
        <w:t>第二部分 采购</w:t>
      </w:r>
      <w:r>
        <w:rPr>
          <w:rFonts w:hint="eastAsia"/>
          <w:b/>
          <w:bCs/>
          <w:color w:val="auto"/>
          <w:sz w:val="30"/>
          <w:szCs w:val="30"/>
          <w:highlight w:val="none"/>
          <w:lang w:val="en-US" w:eastAsia="zh-CN"/>
        </w:rPr>
        <w:t>需求</w:t>
      </w:r>
    </w:p>
    <w:p w14:paraId="6193A3DE">
      <w:pPr>
        <w:keepNext w:val="0"/>
        <w:keepLines w:val="0"/>
        <w:pageBreakBefore w:val="0"/>
        <w:numPr>
          <w:ilvl w:val="0"/>
          <w:numId w:val="1"/>
        </w:numPr>
        <w:tabs>
          <w:tab w:val="left" w:pos="1080"/>
          <w:tab w:val="left" w:pos="1260"/>
        </w:tabs>
        <w:kinsoku/>
        <w:wordWrap/>
        <w:overflowPunct/>
        <w:topLinePunct w:val="0"/>
        <w:autoSpaceDE/>
        <w:autoSpaceDN/>
        <w:bidi w:val="0"/>
        <w:adjustRightInd w:val="0"/>
        <w:snapToGrid w:val="0"/>
        <w:spacing w:line="360" w:lineRule="auto"/>
        <w:ind w:left="112" w:leftChars="0" w:firstLine="308" w:firstLineChars="0"/>
        <w:textAlignment w:val="auto"/>
        <w:rPr>
          <w:rFonts w:hint="eastAsia" w:ascii="宋体" w:hAnsi="宋体"/>
          <w:b/>
          <w:color w:val="auto"/>
          <w:sz w:val="24"/>
          <w:szCs w:val="24"/>
          <w:highlight w:val="none"/>
        </w:rPr>
      </w:pPr>
      <w:r>
        <w:rPr>
          <w:rFonts w:hint="eastAsia" w:ascii="宋体" w:hAnsi="宋体"/>
          <w:b/>
          <w:color w:val="auto"/>
          <w:sz w:val="24"/>
          <w:szCs w:val="24"/>
          <w:highlight w:val="none"/>
        </w:rPr>
        <w:t>采购项目内容及要求：</w:t>
      </w:r>
    </w:p>
    <w:p w14:paraId="5F7FE823">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采购人：</w:t>
      </w:r>
      <w:r>
        <w:rPr>
          <w:rFonts w:hint="eastAsia" w:ascii="宋体" w:hAnsi="宋体" w:cs="宋体"/>
          <w:color w:val="auto"/>
          <w:kern w:val="0"/>
          <w:sz w:val="24"/>
          <w:highlight w:val="none"/>
          <w:lang w:eastAsia="zh-CN"/>
        </w:rPr>
        <w:t>江苏洋口港港务有限公司</w:t>
      </w:r>
    </w:p>
    <w:p w14:paraId="6717F21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color w:val="auto"/>
          <w:sz w:val="24"/>
          <w:szCs w:val="24"/>
          <w:highlight w:val="none"/>
          <w:u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项目名称：</w:t>
      </w:r>
      <w:r>
        <w:rPr>
          <w:rFonts w:hint="eastAsia" w:ascii="宋体" w:hAnsi="宋体" w:cs="Times New Roman"/>
          <w:color w:val="auto"/>
          <w:sz w:val="24"/>
          <w:szCs w:val="24"/>
          <w:highlight w:val="none"/>
          <w:u w:val="none"/>
          <w:lang w:val="en-US" w:eastAsia="zh-CN"/>
        </w:rPr>
        <w:t>如东县阳光岛应急仓库应急物资采购项目</w:t>
      </w:r>
    </w:p>
    <w:p w14:paraId="712A9B2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项目内容：</w:t>
      </w:r>
    </w:p>
    <w:p w14:paraId="75799A0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）采购内容：</w:t>
      </w:r>
      <w:r>
        <w:rPr>
          <w:rFonts w:hint="eastAsia" w:ascii="宋体" w:hAnsi="宋体" w:cs="宋体"/>
          <w:color w:val="auto"/>
          <w:kern w:val="0"/>
          <w:sz w:val="24"/>
          <w:szCs w:val="24"/>
          <w:highlight w:val="none"/>
          <w:lang w:val="en-US" w:eastAsia="zh-CN"/>
        </w:rPr>
        <w:t>吸油毡、</w:t>
      </w:r>
      <w:r>
        <w:rPr>
          <w:rFonts w:hint="eastAsia" w:ascii="宋体" w:hAnsi="宋体" w:eastAsia="宋体" w:cs="宋体"/>
          <w:b w:val="0"/>
          <w:bCs/>
          <w:snapToGrid w:val="0"/>
          <w:color w:val="auto"/>
          <w:sz w:val="24"/>
          <w:szCs w:val="24"/>
          <w:highlight w:val="none"/>
          <w:vertAlign w:val="baseline"/>
          <w:lang w:val="en-US" w:eastAsia="zh-CN"/>
        </w:rPr>
        <w:t>液态有机化学品吸收剂</w:t>
      </w:r>
      <w:r>
        <w:rPr>
          <w:rFonts w:hint="eastAsia" w:ascii="宋体" w:hAnsi="宋体" w:cs="宋体"/>
          <w:color w:val="auto"/>
          <w:kern w:val="0"/>
          <w:sz w:val="24"/>
          <w:szCs w:val="24"/>
          <w:highlight w:val="none"/>
          <w:lang w:val="en-US" w:eastAsia="zh-CN"/>
        </w:rPr>
        <w:t>。</w:t>
      </w:r>
    </w:p>
    <w:p w14:paraId="7E24D2D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）本项目为一个完整标的，标的内货物不得拆分，否则视为非实质性响应。</w:t>
      </w:r>
    </w:p>
    <w:p w14:paraId="195DF01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4、供货地点：采购人指定地点。</w:t>
      </w:r>
    </w:p>
    <w:p w14:paraId="4F12F0B6">
      <w:pPr>
        <w:keepNext w:val="0"/>
        <w:keepLines w:val="0"/>
        <w:pageBreakBefore w:val="0"/>
        <w:numPr>
          <w:ilvl w:val="0"/>
          <w:numId w:val="1"/>
        </w:numPr>
        <w:tabs>
          <w:tab w:val="left" w:pos="1080"/>
          <w:tab w:val="left" w:pos="1260"/>
        </w:tabs>
        <w:kinsoku/>
        <w:wordWrap/>
        <w:overflowPunct/>
        <w:topLinePunct w:val="0"/>
        <w:autoSpaceDE/>
        <w:autoSpaceDN/>
        <w:bidi w:val="0"/>
        <w:adjustRightInd w:val="0"/>
        <w:snapToGrid w:val="0"/>
        <w:spacing w:line="360" w:lineRule="auto"/>
        <w:ind w:left="112" w:leftChars="0" w:firstLine="308" w:firstLineChars="0"/>
        <w:textAlignment w:val="auto"/>
        <w:rPr>
          <w:rFonts w:hint="eastAsia" w:ascii="宋体" w:hAnsi="宋体"/>
          <w:b/>
          <w:color w:val="auto"/>
          <w:sz w:val="24"/>
          <w:szCs w:val="24"/>
          <w:highlight w:val="none"/>
        </w:rPr>
      </w:pPr>
      <w:r>
        <w:rPr>
          <w:rFonts w:hint="eastAsia" w:ascii="宋体" w:hAnsi="宋体"/>
          <w:b/>
          <w:color w:val="auto"/>
          <w:sz w:val="24"/>
          <w:szCs w:val="24"/>
          <w:highlight w:val="none"/>
          <w:lang w:eastAsia="zh-CN"/>
        </w:rPr>
        <w:t>招标</w:t>
      </w:r>
      <w:r>
        <w:rPr>
          <w:rFonts w:hint="eastAsia" w:ascii="宋体" w:hAnsi="宋体"/>
          <w:b/>
          <w:color w:val="auto"/>
          <w:sz w:val="24"/>
          <w:szCs w:val="24"/>
          <w:highlight w:val="none"/>
        </w:rPr>
        <w:t>范围</w:t>
      </w:r>
    </w:p>
    <w:p w14:paraId="6CC562FB">
      <w:pPr>
        <w:pStyle w:val="2"/>
        <w:keepNext w:val="0"/>
        <w:keepLines w:val="0"/>
        <w:pageBreakBefore w:val="0"/>
        <w:kinsoku/>
        <w:wordWrap/>
        <w:overflowPunct/>
        <w:topLinePunct w:val="0"/>
        <w:autoSpaceDE/>
        <w:autoSpaceDN/>
        <w:bidi w:val="0"/>
        <w:adjustRightInd w:val="0"/>
        <w:snapToGrid w:val="0"/>
        <w:spacing w:before="0" w:beforeAutospacing="0" w:after="0"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1、投标供应商须完成</w:t>
      </w:r>
      <w:r>
        <w:rPr>
          <w:rFonts w:hint="eastAsia" w:ascii="宋体" w:hAnsi="宋体" w:cs="Times New Roman"/>
          <w:color w:val="auto"/>
          <w:sz w:val="24"/>
          <w:szCs w:val="24"/>
          <w:highlight w:val="none"/>
          <w:u w:val="none"/>
          <w:lang w:val="en-US" w:eastAsia="zh-CN"/>
        </w:rPr>
        <w:t>如东县阳光岛应急仓库应急物资采购项目</w:t>
      </w:r>
      <w:r>
        <w:rPr>
          <w:rFonts w:hint="eastAsia" w:ascii="宋体" w:hAnsi="宋体" w:cs="宋体"/>
          <w:color w:val="auto"/>
          <w:kern w:val="0"/>
          <w:sz w:val="24"/>
          <w:szCs w:val="24"/>
          <w:highlight w:val="none"/>
          <w:lang w:eastAsia="zh-CN"/>
        </w:rPr>
        <w:t>所需</w:t>
      </w:r>
      <w:r>
        <w:rPr>
          <w:rFonts w:hint="eastAsia" w:ascii="宋体" w:hAnsi="宋体" w:cs="宋体"/>
          <w:color w:val="auto"/>
          <w:kern w:val="0"/>
          <w:sz w:val="24"/>
          <w:szCs w:val="24"/>
          <w:highlight w:val="none"/>
          <w:lang w:val="en-US" w:eastAsia="zh-CN"/>
        </w:rPr>
        <w:t>产品</w:t>
      </w:r>
      <w:r>
        <w:rPr>
          <w:rFonts w:hint="eastAsia" w:ascii="宋体" w:hAnsi="宋体" w:cs="宋体"/>
          <w:color w:val="auto"/>
          <w:kern w:val="0"/>
          <w:sz w:val="24"/>
          <w:szCs w:val="24"/>
          <w:highlight w:val="none"/>
          <w:lang w:eastAsia="zh-CN"/>
        </w:rPr>
        <w:t>的供货、运输（包括卸货、二次搬运）等。</w:t>
      </w:r>
    </w:p>
    <w:p w14:paraId="6E0C93B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2、投标人须现场勘察，了解项目具体情况，根据采购人及项目需要完成项目的具体、供货</w:t>
      </w:r>
      <w:r>
        <w:rPr>
          <w:rFonts w:hint="eastAsia" w:ascii="宋体" w:hAnsi="宋体" w:cs="宋体"/>
          <w:color w:val="auto"/>
          <w:kern w:val="0"/>
          <w:sz w:val="24"/>
          <w:szCs w:val="24"/>
          <w:highlight w:val="none"/>
          <w:lang w:val="en-US" w:eastAsia="zh-CN"/>
        </w:rPr>
        <w:t>、运输等服务。</w:t>
      </w:r>
    </w:p>
    <w:p w14:paraId="002993EC">
      <w:pPr>
        <w:keepNext w:val="0"/>
        <w:keepLines w:val="0"/>
        <w:pageBreakBefore w:val="0"/>
        <w:numPr>
          <w:ilvl w:val="0"/>
          <w:numId w:val="1"/>
        </w:numPr>
        <w:tabs>
          <w:tab w:val="left" w:pos="1080"/>
          <w:tab w:val="left" w:pos="1260"/>
        </w:tabs>
        <w:kinsoku/>
        <w:wordWrap/>
        <w:overflowPunct/>
        <w:topLinePunct w:val="0"/>
        <w:autoSpaceDE/>
        <w:autoSpaceDN/>
        <w:bidi w:val="0"/>
        <w:adjustRightInd w:val="0"/>
        <w:snapToGrid w:val="0"/>
        <w:spacing w:line="360" w:lineRule="auto"/>
        <w:ind w:left="112" w:leftChars="0" w:firstLine="308" w:firstLineChars="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产品质保及售后服务要求</w:t>
      </w:r>
    </w:p>
    <w:p w14:paraId="1EBE360A">
      <w:pPr>
        <w:pStyle w:val="2"/>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firstLine="482"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r>
        <w:rPr>
          <w:rFonts w:hint="eastAsia" w:ascii="宋体" w:hAnsi="宋体" w:cs="宋体"/>
          <w:b/>
          <w:color w:val="auto"/>
          <w:kern w:val="0"/>
          <w:sz w:val="24"/>
          <w:szCs w:val="24"/>
          <w:highlight w:val="none"/>
          <w:lang w:val="en-US" w:eastAsia="zh-CN" w:bidi="ar-SA"/>
        </w:rPr>
        <w:t>中标人在领取中标通知书前吸油毡须提供第三方检测报告，如未能及时提供符合要求的检测报告，招标人有权废除其中标资格，并按询价文件规定另行确定中标人</w:t>
      </w:r>
      <w:r>
        <w:rPr>
          <w:rFonts w:hint="eastAsia" w:ascii="宋体" w:hAnsi="宋体" w:cs="宋体"/>
          <w:b/>
          <w:bCs/>
          <w:color w:val="auto"/>
          <w:sz w:val="24"/>
          <w:highlight w:val="none"/>
        </w:rPr>
        <w:t>或者重新组织招标</w:t>
      </w:r>
      <w:r>
        <w:rPr>
          <w:rFonts w:hint="eastAsia" w:ascii="宋体" w:hAnsi="宋体" w:cs="宋体"/>
          <w:b/>
          <w:color w:val="auto"/>
          <w:kern w:val="0"/>
          <w:sz w:val="24"/>
          <w:szCs w:val="24"/>
          <w:highlight w:val="none"/>
          <w:lang w:val="en-US" w:eastAsia="zh-CN" w:bidi="ar-SA"/>
        </w:rPr>
        <w:t>。</w:t>
      </w:r>
    </w:p>
    <w:p w14:paraId="64B5200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所有</w:t>
      </w:r>
      <w:r>
        <w:rPr>
          <w:rFonts w:hint="eastAsia" w:ascii="宋体" w:hAnsi="宋体" w:cs="宋体"/>
          <w:color w:val="auto"/>
          <w:kern w:val="0"/>
          <w:sz w:val="24"/>
          <w:szCs w:val="24"/>
          <w:highlight w:val="none"/>
          <w:lang w:val="en-US" w:eastAsia="zh-CN"/>
        </w:rPr>
        <w:t>产品</w:t>
      </w:r>
      <w:r>
        <w:rPr>
          <w:rFonts w:hint="eastAsia" w:ascii="宋体" w:hAnsi="宋体" w:cs="宋体"/>
          <w:color w:val="auto"/>
          <w:kern w:val="0"/>
          <w:sz w:val="24"/>
          <w:szCs w:val="24"/>
          <w:highlight w:val="none"/>
        </w:rPr>
        <w:t>是优质、全新未用过、无损、检测合格的，须符合国家相关技术要求，所有</w:t>
      </w:r>
      <w:r>
        <w:rPr>
          <w:rFonts w:hint="eastAsia" w:ascii="宋体" w:hAnsi="宋体" w:cs="宋体"/>
          <w:color w:val="auto"/>
          <w:kern w:val="0"/>
          <w:sz w:val="24"/>
          <w:szCs w:val="24"/>
          <w:highlight w:val="none"/>
          <w:lang w:val="en-US" w:eastAsia="zh-CN"/>
        </w:rPr>
        <w:t>产品</w:t>
      </w:r>
      <w:r>
        <w:rPr>
          <w:rFonts w:hint="eastAsia" w:ascii="宋体" w:hAnsi="宋体" w:cs="宋体"/>
          <w:color w:val="auto"/>
          <w:kern w:val="0"/>
          <w:sz w:val="24"/>
          <w:szCs w:val="24"/>
          <w:highlight w:val="none"/>
        </w:rPr>
        <w:t>须经采购人验收合格后方可进场。</w:t>
      </w:r>
    </w:p>
    <w:p w14:paraId="1121541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所有产品必须标识清晰，相关质保、合格证书齐全</w:t>
      </w:r>
      <w:r>
        <w:rPr>
          <w:rFonts w:hint="eastAsia" w:ascii="宋体" w:hAnsi="宋体"/>
          <w:color w:val="auto"/>
          <w:sz w:val="24"/>
          <w:highlight w:val="none"/>
          <w:lang w:eastAsia="zh-CN"/>
        </w:rPr>
        <w:t>。</w:t>
      </w:r>
    </w:p>
    <w:p w14:paraId="0E8122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、成</w:t>
      </w:r>
      <w:r>
        <w:rPr>
          <w:rFonts w:hint="eastAsia" w:ascii="宋体" w:hAnsi="宋体" w:cs="宋体"/>
          <w:color w:val="auto"/>
          <w:kern w:val="0"/>
          <w:sz w:val="24"/>
          <w:szCs w:val="24"/>
          <w:highlight w:val="none"/>
        </w:rPr>
        <w:t>交供应商必须</w:t>
      </w:r>
      <w:r>
        <w:rPr>
          <w:rFonts w:hint="eastAsia" w:ascii="宋体" w:hAnsi="宋体" w:cs="宋体"/>
          <w:color w:val="auto"/>
          <w:kern w:val="0"/>
          <w:sz w:val="24"/>
          <w:szCs w:val="24"/>
          <w:highlight w:val="none"/>
          <w:lang w:val="en-US" w:eastAsia="zh-CN"/>
        </w:rPr>
        <w:t>按照产品</w:t>
      </w:r>
      <w:r>
        <w:rPr>
          <w:rFonts w:hint="eastAsia" w:ascii="宋体" w:hAnsi="宋体" w:eastAsia="宋体" w:cs="宋体"/>
          <w:b w:val="0"/>
          <w:bCs/>
          <w:snapToGrid w:val="0"/>
          <w:color w:val="auto"/>
          <w:sz w:val="24"/>
          <w:szCs w:val="24"/>
          <w:highlight w:val="none"/>
          <w:vertAlign w:val="baseline"/>
          <w:lang w:val="en-US" w:eastAsia="zh-CN"/>
        </w:rPr>
        <w:t>有效期5年</w:t>
      </w:r>
      <w:r>
        <w:rPr>
          <w:rFonts w:hint="eastAsia" w:ascii="宋体" w:hAnsi="宋体" w:eastAsia="宋体" w:cs="宋体"/>
          <w:color w:val="auto"/>
          <w:kern w:val="0"/>
          <w:sz w:val="24"/>
          <w:szCs w:val="24"/>
          <w:highlight w:val="none"/>
          <w:lang w:val="en-US" w:eastAsia="zh-CN"/>
        </w:rPr>
        <w:t>提供免</w:t>
      </w:r>
      <w:r>
        <w:rPr>
          <w:rFonts w:hint="eastAsia" w:ascii="宋体" w:hAnsi="宋体" w:cs="宋体"/>
          <w:color w:val="auto"/>
          <w:kern w:val="0"/>
          <w:sz w:val="24"/>
          <w:szCs w:val="24"/>
          <w:highlight w:val="none"/>
        </w:rPr>
        <w:t>费质保。</w:t>
      </w:r>
    </w:p>
    <w:p w14:paraId="466E8593">
      <w:pPr>
        <w:keepNext w:val="0"/>
        <w:keepLines w:val="0"/>
        <w:pageBreakBefore w:val="0"/>
        <w:numPr>
          <w:ilvl w:val="0"/>
          <w:numId w:val="1"/>
        </w:numPr>
        <w:tabs>
          <w:tab w:val="left" w:pos="1080"/>
          <w:tab w:val="left" w:pos="1260"/>
        </w:tabs>
        <w:kinsoku/>
        <w:wordWrap/>
        <w:overflowPunct/>
        <w:topLinePunct w:val="0"/>
        <w:bidi w:val="0"/>
        <w:snapToGrid/>
        <w:spacing w:line="460" w:lineRule="exact"/>
        <w:ind w:left="112" w:leftChars="0" w:firstLine="308" w:firstLineChars="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供货及验收：</w:t>
      </w:r>
    </w:p>
    <w:p w14:paraId="30C6DFEA">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1、供货期：</w:t>
      </w:r>
      <w:r>
        <w:rPr>
          <w:rFonts w:hint="eastAsia" w:ascii="宋体" w:hAnsi="宋体" w:cs="宋体"/>
          <w:bCs/>
          <w:color w:val="auto"/>
          <w:sz w:val="24"/>
          <w:szCs w:val="24"/>
          <w:highlight w:val="none"/>
        </w:rPr>
        <w:t>采购供货合同签订之日起</w:t>
      </w:r>
      <w:r>
        <w:rPr>
          <w:rFonts w:hint="eastAsia" w:ascii="宋体" w:hAnsi="宋体"/>
          <w:b/>
          <w:bCs/>
          <w:color w:val="auto"/>
          <w:sz w:val="24"/>
          <w:highlight w:val="none"/>
          <w:lang w:val="en-US" w:eastAsia="zh-CN"/>
        </w:rPr>
        <w:t>30日历天</w:t>
      </w:r>
      <w:r>
        <w:rPr>
          <w:rFonts w:hint="eastAsia" w:ascii="宋体" w:hAnsi="宋体"/>
          <w:b/>
          <w:bCs/>
          <w:color w:val="auto"/>
          <w:sz w:val="24"/>
          <w:highlight w:val="none"/>
        </w:rPr>
        <w:t>内</w:t>
      </w:r>
      <w:r>
        <w:rPr>
          <w:rFonts w:hint="eastAsia" w:ascii="宋体" w:hAnsi="宋体"/>
          <w:color w:val="auto"/>
          <w:sz w:val="24"/>
          <w:highlight w:val="none"/>
        </w:rPr>
        <w:t>供</w:t>
      </w:r>
      <w:r>
        <w:rPr>
          <w:rFonts w:hint="eastAsia" w:ascii="宋体" w:hAnsi="宋体" w:cs="宋体"/>
          <w:bCs/>
          <w:color w:val="auto"/>
          <w:sz w:val="24"/>
          <w:szCs w:val="24"/>
          <w:highlight w:val="none"/>
        </w:rPr>
        <w:t>货至采购人指定地点</w:t>
      </w:r>
      <w:r>
        <w:rPr>
          <w:rFonts w:hint="eastAsia" w:ascii="宋体" w:hAnsi="宋体"/>
          <w:color w:val="auto"/>
          <w:sz w:val="24"/>
          <w:highlight w:val="none"/>
        </w:rPr>
        <w:t>并接受验收</w:t>
      </w:r>
      <w:r>
        <w:rPr>
          <w:rFonts w:hint="eastAsia" w:ascii="宋体" w:hAnsi="宋体" w:cs="宋体"/>
          <w:bCs/>
          <w:color w:val="auto"/>
          <w:sz w:val="24"/>
          <w:szCs w:val="24"/>
          <w:highlight w:val="none"/>
        </w:rPr>
        <w:t>。</w:t>
      </w:r>
    </w:p>
    <w:p w14:paraId="695096D3">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b/>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验收标准：成交供应商提供的产品必须是性能可靠的全新产品，并提供主要产品生产厂家的检验合格证书、质量保证书等证明文件。根据采购人要求接受验收。</w:t>
      </w:r>
    </w:p>
    <w:p w14:paraId="7F6B9991">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highlight w:val="none"/>
        </w:rPr>
        <w:t>交付地点：</w:t>
      </w:r>
      <w:r>
        <w:rPr>
          <w:rFonts w:hint="eastAsia" w:ascii="宋体" w:hAnsi="宋体"/>
          <w:bCs/>
          <w:color w:val="auto"/>
          <w:sz w:val="24"/>
          <w:highlight w:val="none"/>
        </w:rPr>
        <w:t>采购人指定地点</w:t>
      </w:r>
      <w:r>
        <w:rPr>
          <w:rFonts w:hint="eastAsia" w:ascii="宋体" w:hAnsi="宋体"/>
          <w:color w:val="auto"/>
          <w:sz w:val="24"/>
          <w:highlight w:val="none"/>
        </w:rPr>
        <w:t>。</w:t>
      </w:r>
    </w:p>
    <w:p w14:paraId="609D56D5">
      <w:pPr>
        <w:keepNext w:val="0"/>
        <w:keepLines w:val="0"/>
        <w:pageBreakBefore w:val="0"/>
        <w:kinsoku/>
        <w:wordWrap/>
        <w:overflowPunct/>
        <w:topLinePunct w:val="0"/>
        <w:bidi w:val="0"/>
        <w:snapToGrid/>
        <w:spacing w:line="460" w:lineRule="exact"/>
        <w:ind w:firstLine="482" w:firstLineChars="200"/>
        <w:textAlignment w:val="auto"/>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4、所有供货的产品必须为近3个月内的出厂日期。否则采购人不接收该产品。</w:t>
      </w:r>
    </w:p>
    <w:p w14:paraId="362D4AB9">
      <w:pPr>
        <w:keepNext w:val="0"/>
        <w:keepLines w:val="0"/>
        <w:pageBreakBefore w:val="0"/>
        <w:kinsoku/>
        <w:wordWrap/>
        <w:overflowPunct/>
        <w:topLinePunct w:val="0"/>
        <w:bidi w:val="0"/>
        <w:snapToGrid/>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、本项目的一切安全责任全部由成交供应商负责承担。</w:t>
      </w:r>
    </w:p>
    <w:p w14:paraId="691C8D2C">
      <w:pPr>
        <w:keepNext w:val="0"/>
        <w:keepLines w:val="0"/>
        <w:pageBreakBefore w:val="0"/>
        <w:numPr>
          <w:ilvl w:val="0"/>
          <w:numId w:val="1"/>
        </w:numPr>
        <w:tabs>
          <w:tab w:val="left" w:pos="1080"/>
          <w:tab w:val="left" w:pos="1260"/>
        </w:tabs>
        <w:kinsoku/>
        <w:wordWrap/>
        <w:overflowPunct/>
        <w:topLinePunct w:val="0"/>
        <w:bidi w:val="0"/>
        <w:snapToGrid/>
        <w:spacing w:line="460" w:lineRule="exact"/>
        <w:ind w:left="112" w:leftChars="0" w:firstLine="308" w:firstLineChars="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付款条件</w:t>
      </w:r>
    </w:p>
    <w:p w14:paraId="2F53FC3E">
      <w:pPr>
        <w:keepNext w:val="0"/>
        <w:keepLines w:val="0"/>
        <w:pageBreakBefore w:val="0"/>
        <w:kinsoku/>
        <w:wordWrap/>
        <w:overflowPunct/>
        <w:topLinePunct w:val="0"/>
        <w:autoSpaceDE w:val="0"/>
        <w:autoSpaceDN w:val="0"/>
        <w:bidi w:val="0"/>
        <w:adjustRightInd w:val="0"/>
        <w:snapToGrid/>
        <w:spacing w:line="460" w:lineRule="exact"/>
        <w:ind w:firstLine="482" w:firstLineChars="200"/>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所有产品供货至采购人指定地点并通过采购人组织的验收后凭经洋口港公共资源交易中心见证的项目供需合同、验收单（经验收合格）及税率为13%的增值税专用发票后一次性付清。</w:t>
      </w:r>
    </w:p>
    <w:p w14:paraId="2E2B1819">
      <w:pPr>
        <w:keepNext w:val="0"/>
        <w:keepLines w:val="0"/>
        <w:pageBreakBefore w:val="0"/>
        <w:numPr>
          <w:ilvl w:val="0"/>
          <w:numId w:val="1"/>
        </w:numPr>
        <w:tabs>
          <w:tab w:val="left" w:pos="1080"/>
          <w:tab w:val="left" w:pos="1260"/>
        </w:tabs>
        <w:kinsoku/>
        <w:wordWrap/>
        <w:overflowPunct/>
        <w:topLinePunct w:val="0"/>
        <w:bidi w:val="0"/>
        <w:snapToGrid/>
        <w:spacing w:line="460" w:lineRule="exact"/>
        <w:ind w:left="112" w:leftChars="0" w:firstLine="308" w:firstLineChars="0"/>
        <w:textAlignment w:val="auto"/>
        <w:rPr>
          <w:rFonts w:hint="eastAsia" w:ascii="宋体" w:hAnsi="宋体"/>
          <w:b/>
          <w:color w:val="auto"/>
          <w:sz w:val="24"/>
          <w:szCs w:val="24"/>
          <w:highlight w:val="none"/>
          <w:lang w:eastAsia="zh-CN"/>
        </w:rPr>
      </w:pPr>
      <w:r>
        <w:rPr>
          <w:rFonts w:hint="eastAsia" w:ascii="宋体" w:hAnsi="宋体"/>
          <w:b/>
          <w:color w:val="auto"/>
          <w:sz w:val="24"/>
          <w:szCs w:val="24"/>
          <w:highlight w:val="none"/>
          <w:lang w:val="en-US" w:eastAsia="zh-CN"/>
        </w:rPr>
        <w:t>采购清单</w:t>
      </w:r>
    </w:p>
    <w:tbl>
      <w:tblPr>
        <w:tblStyle w:val="1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70"/>
        <w:gridCol w:w="1750"/>
        <w:gridCol w:w="1750"/>
        <w:gridCol w:w="1090"/>
        <w:gridCol w:w="1090"/>
      </w:tblGrid>
      <w:tr w14:paraId="10A9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51" w:type="dxa"/>
            <w:noWrap w:val="0"/>
            <w:vAlign w:val="center"/>
          </w:tcPr>
          <w:p w14:paraId="06D100B4">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序号</w:t>
            </w:r>
          </w:p>
        </w:tc>
        <w:tc>
          <w:tcPr>
            <w:tcW w:w="1970" w:type="dxa"/>
            <w:noWrap w:val="0"/>
            <w:vAlign w:val="center"/>
          </w:tcPr>
          <w:p w14:paraId="5CC3E900">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产品名称</w:t>
            </w:r>
          </w:p>
        </w:tc>
        <w:tc>
          <w:tcPr>
            <w:tcW w:w="1750" w:type="dxa"/>
            <w:noWrap w:val="0"/>
            <w:vAlign w:val="center"/>
          </w:tcPr>
          <w:p w14:paraId="3157AF34">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bCs/>
                <w:color w:val="auto"/>
                <w:kern w:val="0"/>
                <w:szCs w:val="21"/>
                <w:highlight w:val="none"/>
              </w:rPr>
              <w:t>技术要求</w:t>
            </w:r>
          </w:p>
        </w:tc>
        <w:tc>
          <w:tcPr>
            <w:tcW w:w="1750" w:type="dxa"/>
            <w:noWrap w:val="0"/>
            <w:vAlign w:val="center"/>
          </w:tcPr>
          <w:p w14:paraId="3CE2552D">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单位</w:t>
            </w:r>
          </w:p>
        </w:tc>
        <w:tc>
          <w:tcPr>
            <w:tcW w:w="1090" w:type="dxa"/>
            <w:noWrap w:val="0"/>
            <w:vAlign w:val="center"/>
          </w:tcPr>
          <w:p w14:paraId="1EC5A88C">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数量</w:t>
            </w:r>
          </w:p>
        </w:tc>
        <w:tc>
          <w:tcPr>
            <w:tcW w:w="1090" w:type="dxa"/>
            <w:shd w:val="clear" w:color="auto" w:fill="auto"/>
            <w:noWrap w:val="0"/>
            <w:vAlign w:val="center"/>
          </w:tcPr>
          <w:p w14:paraId="4F321969">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snapToGrid w:val="0"/>
                <w:color w:val="auto"/>
                <w:kern w:val="2"/>
                <w:sz w:val="24"/>
                <w:szCs w:val="24"/>
                <w:highlight w:val="none"/>
                <w:vertAlign w:val="baseline"/>
                <w:lang w:val="en-US" w:eastAsia="zh-CN" w:bidi="ar-SA"/>
              </w:rPr>
            </w:pPr>
            <w:r>
              <w:rPr>
                <w:rFonts w:hint="eastAsia" w:ascii="宋体" w:hAnsi="宋体" w:eastAsia="宋体" w:cs="宋体"/>
                <w:b/>
                <w:snapToGrid w:val="0"/>
                <w:color w:val="auto"/>
                <w:sz w:val="24"/>
                <w:szCs w:val="24"/>
                <w:highlight w:val="none"/>
                <w:vertAlign w:val="baseline"/>
                <w:lang w:val="en-US" w:eastAsia="zh-CN"/>
              </w:rPr>
              <w:t>备注</w:t>
            </w:r>
          </w:p>
        </w:tc>
      </w:tr>
      <w:tr w14:paraId="536A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51" w:type="dxa"/>
            <w:noWrap w:val="0"/>
            <w:vAlign w:val="center"/>
          </w:tcPr>
          <w:p w14:paraId="1ABA2AF5">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1</w:t>
            </w:r>
          </w:p>
        </w:tc>
        <w:tc>
          <w:tcPr>
            <w:tcW w:w="1970" w:type="dxa"/>
            <w:noWrap w:val="0"/>
            <w:vAlign w:val="center"/>
          </w:tcPr>
          <w:p w14:paraId="6EFF93B5">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吸油毡</w:t>
            </w:r>
          </w:p>
          <w:p w14:paraId="387BC4BA">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750" w:type="dxa"/>
            <w:noWrap w:val="0"/>
            <w:vAlign w:val="center"/>
          </w:tcPr>
          <w:p w14:paraId="53714CE0">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PP-1型号，5年有效期</w:t>
            </w:r>
          </w:p>
        </w:tc>
        <w:tc>
          <w:tcPr>
            <w:tcW w:w="1750" w:type="dxa"/>
            <w:noWrap w:val="0"/>
            <w:vAlign w:val="center"/>
          </w:tcPr>
          <w:p w14:paraId="4018A0DB">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90" w:type="dxa"/>
            <w:noWrap w:val="0"/>
            <w:vAlign w:val="center"/>
          </w:tcPr>
          <w:p w14:paraId="3964C4E8">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1</w:t>
            </w:r>
          </w:p>
        </w:tc>
        <w:tc>
          <w:tcPr>
            <w:tcW w:w="1090" w:type="dxa"/>
            <w:vMerge w:val="restart"/>
            <w:shd w:val="clear" w:color="auto" w:fill="auto"/>
            <w:noWrap w:val="0"/>
            <w:vAlign w:val="center"/>
          </w:tcPr>
          <w:p w14:paraId="5F5C0AFE">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购买</w:t>
            </w:r>
          </w:p>
          <w:p w14:paraId="1D5D8809">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p>
        </w:tc>
      </w:tr>
      <w:tr w14:paraId="0F4F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51" w:type="dxa"/>
            <w:noWrap w:val="0"/>
            <w:vAlign w:val="center"/>
          </w:tcPr>
          <w:p w14:paraId="72E33C4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2</w:t>
            </w:r>
          </w:p>
        </w:tc>
        <w:tc>
          <w:tcPr>
            <w:tcW w:w="1970" w:type="dxa"/>
            <w:noWrap w:val="0"/>
            <w:vAlign w:val="center"/>
          </w:tcPr>
          <w:p w14:paraId="678BEB7C">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液态有机化学品吸收剂</w:t>
            </w:r>
          </w:p>
          <w:p w14:paraId="70F09572">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750" w:type="dxa"/>
            <w:noWrap w:val="0"/>
            <w:vAlign w:val="center"/>
          </w:tcPr>
          <w:p w14:paraId="47542D44">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主要吸收苯类、酯类、油类，有效期5年</w:t>
            </w:r>
          </w:p>
        </w:tc>
        <w:tc>
          <w:tcPr>
            <w:tcW w:w="1750" w:type="dxa"/>
            <w:noWrap w:val="0"/>
            <w:vAlign w:val="center"/>
          </w:tcPr>
          <w:p w14:paraId="578B4FE1">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90" w:type="dxa"/>
            <w:noWrap w:val="0"/>
            <w:vAlign w:val="center"/>
          </w:tcPr>
          <w:p w14:paraId="7CEA4A72">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1</w:t>
            </w:r>
          </w:p>
        </w:tc>
        <w:tc>
          <w:tcPr>
            <w:tcW w:w="1090" w:type="dxa"/>
            <w:vMerge w:val="continue"/>
            <w:noWrap w:val="0"/>
            <w:vAlign w:val="center"/>
          </w:tcPr>
          <w:p w14:paraId="2DEB3902">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r>
      <w:tr w14:paraId="4615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51" w:type="dxa"/>
            <w:noWrap w:val="0"/>
            <w:vAlign w:val="center"/>
          </w:tcPr>
          <w:p w14:paraId="64F9C0F9">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970" w:type="dxa"/>
            <w:noWrap w:val="0"/>
            <w:vAlign w:val="center"/>
          </w:tcPr>
          <w:p w14:paraId="246BE86B">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吸油毡</w:t>
            </w:r>
          </w:p>
          <w:p w14:paraId="3AA6A1A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750" w:type="dxa"/>
            <w:noWrap w:val="0"/>
            <w:vAlign w:val="center"/>
          </w:tcPr>
          <w:p w14:paraId="2112BBBD">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p>
        </w:tc>
        <w:tc>
          <w:tcPr>
            <w:tcW w:w="1750" w:type="dxa"/>
            <w:noWrap w:val="0"/>
            <w:vAlign w:val="center"/>
          </w:tcPr>
          <w:p w14:paraId="1E710455">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90" w:type="dxa"/>
            <w:noWrap w:val="0"/>
            <w:vAlign w:val="center"/>
          </w:tcPr>
          <w:p w14:paraId="0F10EE0F">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1</w:t>
            </w:r>
          </w:p>
        </w:tc>
        <w:tc>
          <w:tcPr>
            <w:tcW w:w="1090" w:type="dxa"/>
            <w:vMerge w:val="restart"/>
            <w:shd w:val="clear" w:color="auto" w:fill="auto"/>
            <w:noWrap w:val="0"/>
            <w:vAlign w:val="center"/>
          </w:tcPr>
          <w:p w14:paraId="6DDD3357">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临近有效期物资，运走、处置</w:t>
            </w:r>
          </w:p>
          <w:p w14:paraId="59E4AB24">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p>
        </w:tc>
      </w:tr>
      <w:tr w14:paraId="5D61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51" w:type="dxa"/>
            <w:noWrap w:val="0"/>
            <w:vAlign w:val="center"/>
          </w:tcPr>
          <w:p w14:paraId="53D7B29E">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970" w:type="dxa"/>
            <w:noWrap w:val="0"/>
            <w:vAlign w:val="center"/>
          </w:tcPr>
          <w:p w14:paraId="69BF8195">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液态有机化学品吸收剂</w:t>
            </w:r>
          </w:p>
          <w:p w14:paraId="367010D1">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750" w:type="dxa"/>
            <w:noWrap w:val="0"/>
            <w:vAlign w:val="center"/>
          </w:tcPr>
          <w:p w14:paraId="671E926C">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p>
        </w:tc>
        <w:tc>
          <w:tcPr>
            <w:tcW w:w="1750" w:type="dxa"/>
            <w:noWrap w:val="0"/>
            <w:vAlign w:val="center"/>
          </w:tcPr>
          <w:p w14:paraId="2202A3E4">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90" w:type="dxa"/>
            <w:noWrap w:val="0"/>
            <w:vAlign w:val="center"/>
          </w:tcPr>
          <w:p w14:paraId="73C134EE">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1</w:t>
            </w:r>
          </w:p>
        </w:tc>
        <w:tc>
          <w:tcPr>
            <w:tcW w:w="1090" w:type="dxa"/>
            <w:vMerge w:val="continue"/>
            <w:noWrap w:val="0"/>
            <w:vAlign w:val="center"/>
          </w:tcPr>
          <w:p w14:paraId="35F1F005">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r>
    </w:tbl>
    <w:p w14:paraId="76CEB19A">
      <w:pPr>
        <w:pStyle w:val="12"/>
        <w:numPr>
          <w:ilvl w:val="0"/>
          <w:numId w:val="0"/>
        </w:numPr>
        <w:rPr>
          <w:rFonts w:hint="default"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注：投标单位中标以后旧的吸油毡、化学品吸收材料要免费处置。</w:t>
      </w:r>
    </w:p>
    <w:p w14:paraId="263D6063">
      <w:pPr>
        <w:pStyle w:val="2"/>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highlight w:val="none"/>
          <w:u w:val="none"/>
        </w:rPr>
      </w:pPr>
    </w:p>
    <w:p w14:paraId="32E72CC8">
      <w:pPr>
        <w:widowControl/>
        <w:snapToGrid w:val="0"/>
        <w:jc w:val="center"/>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1、液态有机化学品吸收剂</w:t>
      </w:r>
    </w:p>
    <w:p w14:paraId="773081E7">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1.1结构用途：吸附材料内部颗粒呈多微孔状结构，对甲苯、二甲苯、硝苯、煤油、甲醛、甲醇、乙醇、柴油、汽油、机油、二号浮选油等泄漏污染物具有极强的吸附能力，能吸附相当于其重量6倍的污染物液体（每公斤吸附颗粒可吸附约5-6公斤的化学液体及油类），为陆上、码头、仓库、水面及海上化学液体、油类泄漏污染应急吸附处理提供了一种环保的清理方案。</w:t>
      </w:r>
    </w:p>
    <w:p w14:paraId="25BE5642">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1.2储存条件：存储在船上或岸上设备库。</w:t>
      </w:r>
    </w:p>
    <w:p w14:paraId="37318DE2">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1.3技术要求：</w:t>
      </w:r>
    </w:p>
    <w:p w14:paraId="204A301B">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吸附率   mL/g：≥</w:t>
      </w:r>
      <w:r>
        <w:rPr>
          <w:rFonts w:hint="eastAsia" w:ascii="宋体" w:hAnsi="宋体" w:cs="宋体"/>
          <w:b w:val="0"/>
          <w:bCs/>
          <w:color w:val="auto"/>
          <w:sz w:val="24"/>
          <w:szCs w:val="24"/>
          <w:highlight w:val="none"/>
        </w:rPr>
        <w:tab/>
      </w:r>
      <w:r>
        <w:rPr>
          <w:rFonts w:hint="eastAsia" w:ascii="宋体" w:hAnsi="宋体" w:cs="宋体"/>
          <w:b w:val="0"/>
          <w:bCs/>
          <w:color w:val="auto"/>
          <w:sz w:val="24"/>
          <w:szCs w:val="24"/>
          <w:highlight w:val="none"/>
        </w:rPr>
        <w:t xml:space="preserve">6.00        </w:t>
      </w:r>
    </w:p>
    <w:p w14:paraId="71CA5127">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 xml:space="preserve">水分，  %：≤ </w:t>
      </w:r>
      <w:r>
        <w:rPr>
          <w:rFonts w:hint="eastAsia" w:ascii="宋体" w:hAnsi="宋体" w:cs="宋体"/>
          <w:b w:val="0"/>
          <w:bCs/>
          <w:color w:val="auto"/>
          <w:sz w:val="24"/>
          <w:szCs w:val="24"/>
          <w:highlight w:val="none"/>
        </w:rPr>
        <w:tab/>
      </w:r>
      <w:r>
        <w:rPr>
          <w:rFonts w:hint="eastAsia" w:ascii="宋体" w:hAnsi="宋体" w:cs="宋体"/>
          <w:b w:val="0"/>
          <w:bCs/>
          <w:color w:val="auto"/>
          <w:sz w:val="24"/>
          <w:szCs w:val="24"/>
          <w:highlight w:val="none"/>
        </w:rPr>
        <w:t>3.00</w:t>
      </w:r>
    </w:p>
    <w:p w14:paraId="02BBB999">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 xml:space="preserve">pH值：6～8；  </w:t>
      </w:r>
    </w:p>
    <w:p w14:paraId="52F2EAAD">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粒度  （0.3mm-2.5 mm），%：≥</w:t>
      </w:r>
      <w:r>
        <w:rPr>
          <w:rFonts w:hint="eastAsia" w:ascii="宋体" w:hAnsi="宋体" w:cs="宋体"/>
          <w:b w:val="0"/>
          <w:bCs/>
          <w:color w:val="auto"/>
          <w:sz w:val="24"/>
          <w:szCs w:val="24"/>
          <w:highlight w:val="none"/>
        </w:rPr>
        <w:tab/>
      </w:r>
      <w:r>
        <w:rPr>
          <w:rFonts w:hint="eastAsia" w:ascii="宋体" w:hAnsi="宋体" w:cs="宋体"/>
          <w:b w:val="0"/>
          <w:bCs/>
          <w:color w:val="auto"/>
          <w:sz w:val="24"/>
          <w:szCs w:val="24"/>
          <w:highlight w:val="none"/>
        </w:rPr>
        <w:t>90.0</w:t>
      </w:r>
    </w:p>
    <w:p w14:paraId="4D627547">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堆积密度   kg/m3： 80.0～200.0；</w:t>
      </w:r>
    </w:p>
    <w:p w14:paraId="10DD7AC3">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1.4质保期≥5年。</w:t>
      </w:r>
    </w:p>
    <w:p w14:paraId="42CD98B6">
      <w:pPr>
        <w:widowControl/>
        <w:snapToGrid w:val="0"/>
        <w:jc w:val="lef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1.5、数量： 1吨</w:t>
      </w:r>
    </w:p>
    <w:p w14:paraId="3C6B5313">
      <w:pPr>
        <w:widowControl/>
        <w:snapToGrid w:val="0"/>
        <w:jc w:val="center"/>
        <w:rPr>
          <w:rFonts w:hint="eastAsia" w:ascii="宋体" w:hAnsi="宋体" w:cs="宋体"/>
          <w:b/>
          <w:bCs/>
          <w:color w:val="auto"/>
          <w:sz w:val="30"/>
          <w:szCs w:val="30"/>
          <w:highlight w:val="none"/>
        </w:rPr>
      </w:pPr>
    </w:p>
    <w:p w14:paraId="27D3C55E">
      <w:pPr>
        <w:widowControl/>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、PP-1型吸油毡技术规格书</w:t>
      </w:r>
    </w:p>
    <w:p w14:paraId="412F9A96">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.1主要功能：</w:t>
      </w:r>
    </w:p>
    <w:p w14:paraId="4332EB7B">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能够漂浮在水面吸附捕集水面上溢油。该产品特别适应于溢油较薄，收油机等设备无法回收的场合。</w:t>
      </w:r>
    </w:p>
    <w:p w14:paraId="1AFFBE4A">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.2储存条件：存储在船上或岸上设备库；</w:t>
      </w:r>
    </w:p>
    <w:p w14:paraId="2B36440A">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.3回收油种类别：PP-1吸油毡纤维直径：2um-3um，适用于低粘度油、轻质油。</w:t>
      </w:r>
    </w:p>
    <w:p w14:paraId="62CA2342">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.4材质：人造聚丙烯，具有强烈的亲油疏水性，只吸收水面和水中的油质，极少吸取水分；对多种油脂类均可使用，且油被吸附后不易脱落；产品无毒无味，不致污染水产品，焚烧处理无毒气产生；可反复使用。</w:t>
      </w:r>
    </w:p>
    <w:p w14:paraId="68AF3D6E">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.5技术要求：</w:t>
      </w:r>
    </w:p>
    <w:p w14:paraId="2BE6D3A4">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原材料比重：≤1.0g/cm3；</w:t>
      </w:r>
    </w:p>
    <w:p w14:paraId="59A93A44">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吸油量：大于自重的10倍；</w:t>
      </w:r>
    </w:p>
    <w:p w14:paraId="7986CD1C">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吸水性：为本身重量10%以下（20℃）；</w:t>
      </w:r>
    </w:p>
    <w:p w14:paraId="408679BA">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持油性保持率：80%以上。</w:t>
      </w:r>
    </w:p>
    <w:p w14:paraId="4BBDACDD">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厚度：4～6mm；</w:t>
      </w:r>
    </w:p>
    <w:p w14:paraId="66D760A3">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质保期≥5年。</w:t>
      </w:r>
    </w:p>
    <w:p w14:paraId="6D7EA36B">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满足中华人民共和国交通部行业标准JT/T560—2004“船用吸油毡”。</w:t>
      </w:r>
    </w:p>
    <w:p w14:paraId="11CF1913">
      <w:pPr>
        <w:widowControl/>
        <w:snapToGrid w:val="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数量： PP-1 型 1吨</w:t>
      </w:r>
    </w:p>
    <w:p w14:paraId="77E1A907">
      <w:pPr>
        <w:widowControl/>
        <w:snapToGrid w:val="0"/>
        <w:jc w:val="center"/>
        <w:rPr>
          <w:rFonts w:hint="eastAsia" w:ascii="宋体" w:hAnsi="宋体" w:cs="宋体"/>
          <w:b/>
          <w:bCs/>
          <w:color w:val="auto"/>
          <w:sz w:val="30"/>
          <w:szCs w:val="30"/>
          <w:highlight w:val="none"/>
        </w:rPr>
      </w:pPr>
    </w:p>
    <w:p w14:paraId="3895CFE9">
      <w:pPr>
        <w:widowControl/>
        <w:snapToGrid w:val="0"/>
        <w:jc w:val="center"/>
        <w:rPr>
          <w:rFonts w:hint="eastAsia" w:ascii="宋体" w:hAnsi="宋体" w:cs="宋体"/>
          <w:b/>
          <w:bCs/>
          <w:color w:val="auto"/>
          <w:sz w:val="30"/>
          <w:szCs w:val="30"/>
          <w:highlight w:val="none"/>
        </w:rPr>
      </w:pPr>
    </w:p>
    <w:p w14:paraId="0762A2EE">
      <w:pPr>
        <w:widowControl/>
        <w:snapToGrid w:val="0"/>
        <w:jc w:val="center"/>
        <w:rPr>
          <w:rFonts w:hint="eastAsia" w:ascii="宋体" w:hAnsi="宋体" w:cs="宋体"/>
          <w:b/>
          <w:bCs/>
          <w:color w:val="auto"/>
          <w:sz w:val="30"/>
          <w:szCs w:val="30"/>
          <w:highlight w:val="none"/>
        </w:rPr>
      </w:pPr>
    </w:p>
    <w:p w14:paraId="624D242F">
      <w:pPr>
        <w:widowControl/>
        <w:snapToGrid w:val="0"/>
        <w:jc w:val="center"/>
        <w:rPr>
          <w:rFonts w:hint="eastAsia" w:ascii="宋体" w:hAnsi="宋体" w:cs="宋体"/>
          <w:b/>
          <w:bCs/>
          <w:color w:val="auto"/>
          <w:sz w:val="30"/>
          <w:szCs w:val="30"/>
          <w:highlight w:val="none"/>
        </w:rPr>
      </w:pPr>
    </w:p>
    <w:p w14:paraId="65D80682">
      <w:pPr>
        <w:widowControl/>
        <w:snapToGrid w:val="0"/>
        <w:jc w:val="center"/>
        <w:rPr>
          <w:rFonts w:hint="eastAsia" w:ascii="宋体" w:hAnsi="宋体" w:cs="宋体"/>
          <w:b/>
          <w:bCs/>
          <w:color w:val="auto"/>
          <w:sz w:val="30"/>
          <w:szCs w:val="30"/>
          <w:highlight w:val="none"/>
        </w:rPr>
      </w:pPr>
    </w:p>
    <w:p w14:paraId="3816519F">
      <w:pPr>
        <w:widowControl/>
        <w:snapToGrid w:val="0"/>
        <w:jc w:val="center"/>
        <w:rPr>
          <w:rFonts w:hint="eastAsia" w:ascii="宋体" w:hAnsi="宋体" w:cs="宋体"/>
          <w:b/>
          <w:bCs/>
          <w:color w:val="auto"/>
          <w:sz w:val="30"/>
          <w:szCs w:val="30"/>
          <w:highlight w:val="none"/>
        </w:rPr>
      </w:pPr>
    </w:p>
    <w:p w14:paraId="347AE220">
      <w:pPr>
        <w:widowControl/>
        <w:snapToGrid w:val="0"/>
        <w:jc w:val="center"/>
        <w:rPr>
          <w:rFonts w:hint="eastAsia" w:ascii="宋体" w:hAnsi="宋体" w:cs="宋体"/>
          <w:b/>
          <w:bCs/>
          <w:color w:val="auto"/>
          <w:sz w:val="30"/>
          <w:szCs w:val="30"/>
          <w:highlight w:val="none"/>
        </w:rPr>
      </w:pPr>
    </w:p>
    <w:p w14:paraId="34573B27">
      <w:pPr>
        <w:widowControl/>
        <w:snapToGrid w:val="0"/>
        <w:jc w:val="center"/>
        <w:rPr>
          <w:rFonts w:hint="eastAsia" w:ascii="宋体" w:hAnsi="宋体" w:cs="宋体"/>
          <w:b/>
          <w:bCs/>
          <w:color w:val="auto"/>
          <w:sz w:val="30"/>
          <w:szCs w:val="30"/>
          <w:highlight w:val="none"/>
        </w:rPr>
      </w:pPr>
    </w:p>
    <w:p w14:paraId="27B9CF5E">
      <w:pPr>
        <w:widowControl/>
        <w:snapToGrid w:val="0"/>
        <w:jc w:val="center"/>
        <w:rPr>
          <w:rFonts w:hint="eastAsia" w:ascii="宋体" w:hAnsi="宋体" w:cs="宋体"/>
          <w:b/>
          <w:bCs/>
          <w:color w:val="auto"/>
          <w:sz w:val="30"/>
          <w:szCs w:val="30"/>
          <w:highlight w:val="none"/>
        </w:rPr>
      </w:pPr>
    </w:p>
    <w:p w14:paraId="696231D7">
      <w:pPr>
        <w:widowControl/>
        <w:snapToGrid w:val="0"/>
        <w:jc w:val="center"/>
        <w:rPr>
          <w:rFonts w:hint="eastAsia" w:ascii="宋体" w:hAnsi="宋体" w:cs="宋体"/>
          <w:b/>
          <w:bCs/>
          <w:color w:val="auto"/>
          <w:sz w:val="30"/>
          <w:szCs w:val="30"/>
          <w:highlight w:val="none"/>
        </w:rPr>
      </w:pPr>
    </w:p>
    <w:p w14:paraId="6434F084">
      <w:pPr>
        <w:widowControl/>
        <w:snapToGrid w:val="0"/>
        <w:jc w:val="center"/>
        <w:rPr>
          <w:rFonts w:hint="eastAsia" w:ascii="宋体" w:hAnsi="宋体" w:cs="宋体"/>
          <w:b/>
          <w:bCs/>
          <w:color w:val="auto"/>
          <w:sz w:val="30"/>
          <w:szCs w:val="30"/>
          <w:highlight w:val="none"/>
        </w:rPr>
      </w:pPr>
    </w:p>
    <w:p w14:paraId="0DA96D13">
      <w:pPr>
        <w:pStyle w:val="12"/>
        <w:rPr>
          <w:rFonts w:hint="eastAsia" w:ascii="宋体" w:hAnsi="宋体" w:cs="宋体"/>
          <w:b/>
          <w:bCs/>
          <w:color w:val="auto"/>
          <w:sz w:val="30"/>
          <w:szCs w:val="30"/>
          <w:highlight w:val="none"/>
        </w:rPr>
      </w:pPr>
    </w:p>
    <w:p w14:paraId="62B0CCEF">
      <w:pPr>
        <w:pStyle w:val="12"/>
        <w:rPr>
          <w:rFonts w:hint="eastAsia" w:ascii="宋体" w:hAnsi="宋体" w:cs="宋体"/>
          <w:b/>
          <w:bCs/>
          <w:color w:val="auto"/>
          <w:sz w:val="30"/>
          <w:szCs w:val="30"/>
          <w:highlight w:val="none"/>
        </w:rPr>
      </w:pPr>
    </w:p>
    <w:p w14:paraId="58E28F11">
      <w:pPr>
        <w:widowControl/>
        <w:snapToGrid w:val="0"/>
        <w:jc w:val="both"/>
        <w:rPr>
          <w:rFonts w:hint="eastAsia" w:ascii="宋体" w:hAnsi="宋体" w:cs="宋体"/>
          <w:b/>
          <w:bCs/>
          <w:color w:val="auto"/>
          <w:sz w:val="30"/>
          <w:szCs w:val="30"/>
          <w:highlight w:val="none"/>
        </w:rPr>
      </w:pPr>
    </w:p>
    <w:p w14:paraId="0D42FDF5">
      <w:pPr>
        <w:widowControl/>
        <w:snapToGrid w:val="0"/>
        <w:jc w:val="center"/>
        <w:rPr>
          <w:rFonts w:hint="eastAsia" w:ascii="宋体" w:hAnsi="宋体" w:cs="宋体"/>
          <w:b/>
          <w:bCs/>
          <w:color w:val="auto"/>
          <w:sz w:val="30"/>
          <w:szCs w:val="30"/>
          <w:highlight w:val="none"/>
        </w:rPr>
      </w:pPr>
    </w:p>
    <w:p w14:paraId="552ECEED">
      <w:pPr>
        <w:pStyle w:val="2"/>
        <w:rPr>
          <w:rFonts w:hint="eastAsia" w:ascii="宋体" w:hAnsi="宋体" w:cs="宋体"/>
          <w:b/>
          <w:bCs/>
          <w:color w:val="auto"/>
          <w:sz w:val="30"/>
          <w:szCs w:val="30"/>
          <w:highlight w:val="none"/>
        </w:rPr>
      </w:pPr>
    </w:p>
    <w:p w14:paraId="0CAC5596">
      <w:pPr>
        <w:pStyle w:val="3"/>
        <w:rPr>
          <w:rFonts w:hint="eastAsia" w:ascii="宋体" w:hAnsi="宋体" w:cs="宋体"/>
          <w:b/>
          <w:bCs/>
          <w:color w:val="auto"/>
          <w:sz w:val="30"/>
          <w:szCs w:val="30"/>
          <w:highlight w:val="none"/>
        </w:rPr>
      </w:pPr>
    </w:p>
    <w:p w14:paraId="61D71034">
      <w:pPr>
        <w:pStyle w:val="3"/>
        <w:rPr>
          <w:rFonts w:hint="eastAsia" w:ascii="宋体" w:hAnsi="宋体" w:cs="宋体"/>
          <w:b/>
          <w:bCs/>
          <w:color w:val="auto"/>
          <w:sz w:val="30"/>
          <w:szCs w:val="30"/>
          <w:highlight w:val="none"/>
        </w:rPr>
      </w:pPr>
    </w:p>
    <w:p w14:paraId="2875B680">
      <w:pPr>
        <w:pStyle w:val="3"/>
        <w:rPr>
          <w:rFonts w:hint="eastAsia" w:ascii="宋体" w:hAnsi="宋体" w:cs="宋体"/>
          <w:b/>
          <w:bCs/>
          <w:color w:val="auto"/>
          <w:sz w:val="30"/>
          <w:szCs w:val="30"/>
          <w:highlight w:val="none"/>
        </w:rPr>
      </w:pPr>
    </w:p>
    <w:p w14:paraId="47469D28">
      <w:pPr>
        <w:pStyle w:val="3"/>
        <w:rPr>
          <w:rFonts w:hint="eastAsia" w:ascii="宋体" w:hAnsi="宋体" w:cs="宋体"/>
          <w:b/>
          <w:bCs/>
          <w:color w:val="auto"/>
          <w:sz w:val="30"/>
          <w:szCs w:val="30"/>
          <w:highlight w:val="none"/>
        </w:rPr>
      </w:pPr>
    </w:p>
    <w:p w14:paraId="006F78E9">
      <w:pPr>
        <w:pStyle w:val="3"/>
        <w:rPr>
          <w:rFonts w:hint="eastAsia" w:ascii="宋体" w:hAnsi="宋体" w:cs="宋体"/>
          <w:b/>
          <w:bCs/>
          <w:color w:val="auto"/>
          <w:sz w:val="30"/>
          <w:szCs w:val="30"/>
          <w:highlight w:val="none"/>
        </w:rPr>
      </w:pPr>
    </w:p>
    <w:p w14:paraId="5C355575">
      <w:pPr>
        <w:widowControl/>
        <w:snapToGrid w:val="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第三部分   投标须知</w:t>
      </w:r>
    </w:p>
    <w:p w14:paraId="4D6FDBFB">
      <w:pPr>
        <w:keepNext w:val="0"/>
        <w:keepLines w:val="0"/>
        <w:pageBreakBefore w:val="0"/>
        <w:kinsoku/>
        <w:wordWrap/>
        <w:overflowPunct/>
        <w:topLinePunct w:val="0"/>
        <w:autoSpaceDE/>
        <w:autoSpaceDN/>
        <w:bidi w:val="0"/>
        <w:spacing w:line="398"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一.说明</w:t>
      </w:r>
    </w:p>
    <w:p w14:paraId="7E8F390C">
      <w:pPr>
        <w:keepNext w:val="0"/>
        <w:keepLines w:val="0"/>
        <w:pageBreakBefore w:val="0"/>
        <w:kinsoku/>
        <w:wordWrap/>
        <w:overflowPunct/>
        <w:topLinePunct w:val="0"/>
        <w:autoSpaceDE/>
        <w:autoSpaceDN/>
        <w:bidi w:val="0"/>
        <w:adjustRightInd/>
        <w:snapToGrid/>
        <w:spacing w:line="398"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1.本采购文件中所称的“采购人”为</w:t>
      </w:r>
      <w:r>
        <w:rPr>
          <w:rFonts w:hint="eastAsia" w:ascii="宋体" w:hAnsi="宋体" w:cs="宋体"/>
          <w:color w:val="auto"/>
          <w:kern w:val="0"/>
          <w:sz w:val="24"/>
          <w:highlight w:val="none"/>
          <w:lang w:eastAsia="zh-CN"/>
        </w:rPr>
        <w:t>江苏洋口港港务有限公司</w:t>
      </w:r>
      <w:r>
        <w:rPr>
          <w:rFonts w:hint="eastAsia" w:ascii="宋体" w:hAnsi="宋体" w:cs="宋体"/>
          <w:color w:val="auto"/>
          <w:sz w:val="24"/>
          <w:szCs w:val="24"/>
          <w:highlight w:val="none"/>
        </w:rPr>
        <w:t>，“投标人”为本项目的供应商，“评标小组”为本项目评标组织，“成交供应商”为本项目的中标供应商。</w:t>
      </w:r>
    </w:p>
    <w:p w14:paraId="307C6214">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2.本采购文件仅适用于本次</w:t>
      </w:r>
      <w:r>
        <w:rPr>
          <w:rFonts w:hint="eastAsia" w:ascii="宋体" w:hAnsi="宋体" w:cs="宋体"/>
          <w:color w:val="auto"/>
          <w:sz w:val="24"/>
          <w:szCs w:val="24"/>
          <w:highlight w:val="none"/>
          <w:lang w:val="en-US" w:eastAsia="zh-CN"/>
        </w:rPr>
        <w:t>询价采购</w:t>
      </w:r>
      <w:r>
        <w:rPr>
          <w:rFonts w:hint="eastAsia" w:ascii="宋体" w:hAnsi="宋体" w:cs="宋体"/>
          <w:color w:val="auto"/>
          <w:sz w:val="24"/>
          <w:szCs w:val="24"/>
          <w:highlight w:val="none"/>
        </w:rPr>
        <w:t>，解释权归采购方所有。</w:t>
      </w:r>
    </w:p>
    <w:p w14:paraId="788E4858">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3.投标人不得在成交后将成交项目转包（或分包）给其它企业或自然人。</w:t>
      </w:r>
    </w:p>
    <w:p w14:paraId="5DA9D97D">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投标人一旦领取本招标文件并参加投标，即被认为接受了本招标文件的规定和约束，并且视为自招标文件领取之日起已经知道或应当知道招标文件是否损害其自身权益。投标人一旦参加本项目投标报价，即表明承诺接受了本招标文件中的所有条件和规定。</w:t>
      </w:r>
    </w:p>
    <w:p w14:paraId="1233B1B4">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5.开标程序：</w:t>
      </w:r>
    </w:p>
    <w:p w14:paraId="2D325BAB">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(1）公布投标人名称；</w:t>
      </w:r>
    </w:p>
    <w:p w14:paraId="61FE3AB3">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(2）投标人解密其投标文件；</w:t>
      </w:r>
    </w:p>
    <w:p w14:paraId="7B82D74E">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(3）采购人解密并导入投标文件；</w:t>
      </w:r>
    </w:p>
    <w:p w14:paraId="220205D3">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(4）开标结束。</w:t>
      </w:r>
    </w:p>
    <w:p w14:paraId="58A35060">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6.解密时间：同投标截止时间（投标人解密限定在开标截止时间后</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十分钟内完成）。</w:t>
      </w:r>
    </w:p>
    <w:p w14:paraId="0554DDB5">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7.评标委员会的组建：评标委员会构成：3人。</w:t>
      </w:r>
    </w:p>
    <w:p w14:paraId="1255BDCA">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8.异议提出的时间：公示期内。</w:t>
      </w:r>
    </w:p>
    <w:p w14:paraId="3C1EB7A7">
      <w:pPr>
        <w:keepNext w:val="0"/>
        <w:keepLines w:val="0"/>
        <w:pageBreakBefore w:val="0"/>
        <w:kinsoku/>
        <w:wordWrap/>
        <w:overflowPunct/>
        <w:topLinePunct w:val="0"/>
        <w:autoSpaceDE/>
        <w:autoSpaceDN/>
        <w:bidi w:val="0"/>
        <w:spacing w:line="398"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二.投标人资格要求</w:t>
      </w:r>
    </w:p>
    <w:p w14:paraId="6975BB93">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投标人必须同时符合以下条件：</w:t>
      </w:r>
      <w:r>
        <w:rPr>
          <w:rFonts w:hint="eastAsia" w:ascii="宋体" w:hAnsi="宋体" w:cs="宋体"/>
          <w:color w:val="auto"/>
          <w:kern w:val="0"/>
          <w:sz w:val="24"/>
          <w:szCs w:val="24"/>
          <w:highlight w:val="none"/>
        </w:rPr>
        <w:t>见本项目采购公告。</w:t>
      </w:r>
    </w:p>
    <w:p w14:paraId="6ADD07FF">
      <w:pPr>
        <w:keepNext w:val="0"/>
        <w:keepLines w:val="0"/>
        <w:pageBreakBefore w:val="0"/>
        <w:kinsoku/>
        <w:wordWrap/>
        <w:overflowPunct/>
        <w:topLinePunct w:val="0"/>
        <w:autoSpaceDE/>
        <w:autoSpaceDN/>
        <w:bidi w:val="0"/>
        <w:spacing w:line="398"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三.询价采购程序及成交原则</w:t>
      </w:r>
    </w:p>
    <w:p w14:paraId="427EB8DC">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1.投标人法定代表人或法定代表授权委托人在投标截止时间前到采购方指定地点递交投标文件，参加本项目的投标报价。</w:t>
      </w:r>
    </w:p>
    <w:p w14:paraId="490C487E">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2.评标小组根据采购文件要求对投标人进行资格性审查，审查主要内容包括：</w:t>
      </w:r>
    </w:p>
    <w:p w14:paraId="0FA02B6E">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（1）投标文件数量及密封、标记情况；</w:t>
      </w:r>
    </w:p>
    <w:p w14:paraId="4499EDB6">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（2）投标保证金交纳情况</w:t>
      </w:r>
      <w:r>
        <w:rPr>
          <w:rFonts w:hint="eastAsia" w:ascii="宋体" w:hAnsi="宋体" w:cs="宋体"/>
          <w:color w:val="auto"/>
          <w:sz w:val="24"/>
          <w:szCs w:val="24"/>
          <w:highlight w:val="none"/>
          <w:lang w:eastAsia="zh-CN"/>
        </w:rPr>
        <w:t>（若有）</w:t>
      </w:r>
      <w:r>
        <w:rPr>
          <w:rFonts w:hint="eastAsia" w:ascii="宋体" w:hAnsi="宋体" w:cs="宋体"/>
          <w:color w:val="auto"/>
          <w:sz w:val="24"/>
          <w:szCs w:val="24"/>
          <w:highlight w:val="none"/>
        </w:rPr>
        <w:t>；</w:t>
      </w:r>
    </w:p>
    <w:p w14:paraId="4A3A5315">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（3）投标人及有关证明资料的完整性、真实性。资格性审查未通过的投标人作无效投标处理。</w:t>
      </w:r>
    </w:p>
    <w:p w14:paraId="665D3107">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3.评标小组对投标人进行符合性审查，审查主要内容包括：</w:t>
      </w:r>
    </w:p>
    <w:p w14:paraId="44434652">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（1）投标文件的有效性和完整性；</w:t>
      </w:r>
    </w:p>
    <w:p w14:paraId="396F3705">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（2）投标人和投标文件是否对采购文件作出实质性响应。符合性审查未通过的投标人作无效投标处理。</w:t>
      </w:r>
    </w:p>
    <w:p w14:paraId="692ABA4E">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4.评标小组宣布合格投标人名单。合格投标人对投标项目作出的报价为有效投标报价。</w:t>
      </w:r>
    </w:p>
    <w:p w14:paraId="695E64EB">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5.成交原则：</w:t>
      </w:r>
    </w:p>
    <w:p w14:paraId="32F735E7">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color w:val="auto"/>
          <w:sz w:val="24"/>
          <w:szCs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）评</w:t>
      </w:r>
      <w:r>
        <w:rPr>
          <w:rFonts w:hint="eastAsia" w:ascii="宋体" w:hAnsi="宋体" w:cs="宋体"/>
          <w:b/>
          <w:color w:val="auto"/>
          <w:sz w:val="24"/>
          <w:szCs w:val="24"/>
          <w:highlight w:val="none"/>
        </w:rPr>
        <w:t>标委员会将根据本招标文件的要求和条件进行评定,从质量和服务均能满足招标文件实质性响应要求的合格投标人中，按照</w:t>
      </w:r>
      <w:r>
        <w:rPr>
          <w:rFonts w:hint="eastAsia" w:ascii="宋体" w:hAnsi="宋体" w:cs="宋体"/>
          <w:b/>
          <w:color w:val="auto"/>
          <w:sz w:val="24"/>
          <w:szCs w:val="24"/>
          <w:highlight w:val="none"/>
          <w:lang w:val="en-US" w:eastAsia="zh-CN"/>
        </w:rPr>
        <w:t>总价</w:t>
      </w:r>
      <w:r>
        <w:rPr>
          <w:rFonts w:hint="eastAsia" w:ascii="宋体" w:hAnsi="宋体" w:cs="宋体"/>
          <w:b/>
          <w:color w:val="auto"/>
          <w:sz w:val="24"/>
          <w:szCs w:val="24"/>
          <w:highlight w:val="none"/>
        </w:rPr>
        <w:t>最低价确定成交供应商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最低价相同时由采购人抽签随机确定成交供应商）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即供应商有效投标报价最低的为第一中标候选人，有效投标报价次低的为第二中标候选人，以此类推。</w:t>
      </w:r>
    </w:p>
    <w:p w14:paraId="51A7270E">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）由采购人确定第一的中标候选人为</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若第一中标候选人放弃中标、因不可抗力提出不能履行合同、采购文件规定应当提交履约保证金而在规定的期限内未提交的，或者存在违法行为被有关部门依法查处，且其违法行为影响中标结果的，采购人可以确定第二中标候选人为</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，如第二中标候选人也发生上述问题，依次可确定第三中标候选人为</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或者重新组织招标。</w:t>
      </w:r>
    </w:p>
    <w:p w14:paraId="136F8C9D">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highlight w:val="none"/>
        </w:rPr>
        <w:t>注:</w:t>
      </w:r>
      <w:r>
        <w:rPr>
          <w:rFonts w:hint="eastAsia" w:ascii="宋体" w:hAnsi="宋体" w:cs="宋体"/>
          <w:b/>
          <w:bCs/>
          <w:color w:val="auto"/>
          <w:sz w:val="24"/>
          <w:szCs w:val="24"/>
          <w:highlight w:val="none"/>
        </w:rPr>
        <w:t>①.有效投标文件是指未被评标委员会判定为无效标的投标文件。</w:t>
      </w:r>
    </w:p>
    <w:p w14:paraId="7B30B1F5">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②.评标价是指经澄清、补正和修正算术计算错误的投标报价。上述评标基准价以“元”为单位，计算均保留小数点后两位，小数点后第三位“四舍五入”。</w:t>
      </w:r>
    </w:p>
    <w:p w14:paraId="19219612">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③.评标委员会在评标报告上签字后，上述方法的评标基准价除确认存在计算错误外，评标基准价不因招投标当事人质疑、投诉、复议等情形而改变。</w:t>
      </w:r>
    </w:p>
    <w:p w14:paraId="5B3624E6">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④.如果以文字表示的数据与数字表示的有差别，以文字为准修正数字。如果大小写金额不一致的，以大写金额为准。</w:t>
      </w:r>
    </w:p>
    <w:p w14:paraId="6CD589D2">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⑤.如果单价乘以数量不等于总价，以单价为准修正总价，但修正后的汇总价格不得高于投标报价；若以单价为准修正总价后的汇总价格高于投标报价的，则以总价为准修正单价，投标报价保持不变。</w:t>
      </w:r>
    </w:p>
    <w:p w14:paraId="3D7D6C3E">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color w:val="auto"/>
          <w:sz w:val="24"/>
          <w:highlight w:val="none"/>
        </w:rPr>
      </w:pPr>
      <w:r>
        <w:rPr>
          <w:rFonts w:hint="eastAsia" w:ascii="宋体" w:hAnsi="宋体" w:cs="宋体"/>
          <w:b/>
          <w:bCs/>
          <w:color w:val="auto"/>
          <w:sz w:val="24"/>
          <w:szCs w:val="24"/>
          <w:highlight w:val="none"/>
        </w:rPr>
        <w:t>注：</w:t>
      </w:r>
      <w:r>
        <w:rPr>
          <w:rFonts w:hint="eastAsia" w:ascii="宋体" w:hAnsi="宋体" w:cs="宋体"/>
          <w:bCs/>
          <w:color w:val="auto"/>
          <w:sz w:val="24"/>
          <w:szCs w:val="24"/>
          <w:highlight w:val="none"/>
        </w:rPr>
        <w:t>评委会将按上述修正错误的方法调整投标文件中的投标报价，调整后的价格应对投标人具有约束力。</w:t>
      </w:r>
      <w:r>
        <w:rPr>
          <w:rFonts w:hint="eastAsia" w:ascii="宋体" w:hAnsi="宋体" w:cs="宋体"/>
          <w:b/>
          <w:bCs/>
          <w:color w:val="auto"/>
          <w:sz w:val="24"/>
          <w:szCs w:val="24"/>
          <w:highlight w:val="none"/>
        </w:rPr>
        <w:t>如果投标人不接受修正后的价格，则其投标将被拒绝，其投标保证金将被没收。</w:t>
      </w:r>
      <w:r>
        <w:rPr>
          <w:rFonts w:hint="eastAsia" w:ascii="宋体" w:hAnsi="宋体" w:cs="宋体"/>
          <w:b/>
          <w:color w:val="auto"/>
          <w:sz w:val="24"/>
          <w:highlight w:val="none"/>
        </w:rPr>
        <w:t xml:space="preserve"> </w:t>
      </w:r>
    </w:p>
    <w:p w14:paraId="61C00510">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（3）成交供应商经公示无异议后，采购人向成交供应商签发《</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通知书》。</w:t>
      </w:r>
    </w:p>
    <w:p w14:paraId="76A0EC70">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（4）成交供应商按照《</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通知书》的规定与采购人签订采购合同，采购合同报洋口港经济开发区公共资源交易中心见证后生效。</w:t>
      </w:r>
    </w:p>
    <w:p w14:paraId="202F698C">
      <w:pPr>
        <w:keepNext w:val="0"/>
        <w:keepLines w:val="0"/>
        <w:pageBreakBefore w:val="0"/>
        <w:kinsoku/>
        <w:wordWrap/>
        <w:overflowPunct/>
        <w:topLinePunct w:val="0"/>
        <w:autoSpaceDE/>
        <w:autoSpaceDN/>
        <w:bidi w:val="0"/>
        <w:spacing w:line="398" w:lineRule="exact"/>
        <w:textAlignment w:val="auto"/>
        <w:rPr>
          <w:rFonts w:ascii="宋体" w:hAnsi="宋体" w:cs="宋体"/>
          <w:b/>
          <w:color w:val="auto"/>
          <w:sz w:val="24"/>
          <w:highlight w:val="none"/>
        </w:rPr>
      </w:pPr>
      <w:r>
        <w:rPr>
          <w:rFonts w:hint="eastAsia" w:ascii="宋体" w:hAnsi="宋体" w:cs="宋体"/>
          <w:b/>
          <w:color w:val="auto"/>
          <w:sz w:val="24"/>
          <w:highlight w:val="none"/>
        </w:rPr>
        <w:t>四.无效投标及废标情形</w:t>
      </w:r>
    </w:p>
    <w:p w14:paraId="72185C41">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24"/>
          <w:highlight w:val="none"/>
          <w:lang w:val="en-US" w:eastAsia="zh-CN"/>
        </w:rPr>
        <w:t>出现下列情形之一的，作无效招标处理，无效招标投标文件不予参加评标</w:t>
      </w:r>
      <w:r>
        <w:rPr>
          <w:rFonts w:hint="eastAsia" w:ascii="宋体" w:hAnsi="宋体" w:cs="宋体"/>
          <w:color w:val="auto"/>
          <w:sz w:val="24"/>
          <w:highlight w:val="none"/>
        </w:rPr>
        <w:t>：</w:t>
      </w:r>
    </w:p>
    <w:p w14:paraId="42868E77">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bookmarkStart w:id="0" w:name="_Toc455516305"/>
      <w:r>
        <w:rPr>
          <w:rFonts w:hint="eastAsia" w:ascii="宋体" w:hAnsi="宋体" w:cs="宋体"/>
          <w:color w:val="auto"/>
          <w:sz w:val="24"/>
          <w:szCs w:val="24"/>
          <w:highlight w:val="none"/>
        </w:rPr>
        <w:t>（1）投标人未按本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文件要求提供投标文件，或投标文件未按要求密封、标记的；</w:t>
      </w:r>
    </w:p>
    <w:p w14:paraId="7F3DC557">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（2）投标人资格证明文件不符合本招标文件要求的；</w:t>
      </w:r>
    </w:p>
    <w:p w14:paraId="26589A95">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（3）投标文件未按本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文件规定的格式制作的；</w:t>
      </w:r>
    </w:p>
    <w:p w14:paraId="14802652">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（4）投标文件未按本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文件要求盖章及签署的；</w:t>
      </w:r>
    </w:p>
    <w:p w14:paraId="66C2D346">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（5）投标人提供虚假、伪造、过期资料的；</w:t>
      </w:r>
    </w:p>
    <w:p w14:paraId="257323F0">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（6）报价资料漏项、字迹模糊，无法辩认的；</w:t>
      </w:r>
    </w:p>
    <w:p w14:paraId="64879B9E">
      <w:pPr>
        <w:keepNext w:val="0"/>
        <w:keepLines w:val="0"/>
        <w:pageBreakBefore w:val="0"/>
        <w:tabs>
          <w:tab w:val="left" w:pos="900"/>
        </w:tabs>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rPr>
        <w:t>（7）投标报价高于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含等于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en-US" w:eastAsia="zh-CN"/>
        </w:rPr>
        <w:t>预算</w:t>
      </w:r>
      <w:r>
        <w:rPr>
          <w:rFonts w:hint="eastAsia" w:ascii="宋体" w:hAnsi="宋体" w:cs="宋体"/>
          <w:color w:val="auto"/>
          <w:sz w:val="24"/>
          <w:szCs w:val="24"/>
          <w:highlight w:val="none"/>
        </w:rPr>
        <w:t>价的</w:t>
      </w:r>
      <w:r>
        <w:rPr>
          <w:rFonts w:hint="eastAsia" w:ascii="宋体" w:hAnsi="宋体" w:cs="宋体"/>
          <w:b/>
          <w:color w:val="auto"/>
          <w:sz w:val="24"/>
          <w:szCs w:val="24"/>
          <w:highlight w:val="none"/>
        </w:rPr>
        <w:t>；</w:t>
      </w:r>
    </w:p>
    <w:p w14:paraId="0C5F4E4A">
      <w:pPr>
        <w:keepNext w:val="0"/>
        <w:keepLines w:val="0"/>
        <w:pageBreakBefore w:val="0"/>
        <w:tabs>
          <w:tab w:val="left" w:pos="900"/>
        </w:tabs>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（8）投标人改变本采购文件提供的清单中的计量单位、数量的；</w:t>
      </w:r>
    </w:p>
    <w:p w14:paraId="202C44A2">
      <w:pPr>
        <w:keepNext w:val="0"/>
        <w:keepLines w:val="0"/>
        <w:pageBreakBefore w:val="0"/>
        <w:widowControl/>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（9）投标文件提出了不能满足本招标文件要求或招标人不能接受的工程验收、计量、价款结算支付办法；</w:t>
      </w:r>
    </w:p>
    <w:p w14:paraId="04D3DA1F">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（10）报价资料中有两个或两个以上报价的；</w:t>
      </w:r>
    </w:p>
    <w:p w14:paraId="35D4830F">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（11）投标人未按本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文件要求提供电子投标文件或未携带相关投标资料的备查原件到投标现场的；</w:t>
      </w:r>
    </w:p>
    <w:p w14:paraId="75A5DD01">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（12）没有按规定缴纳投标保证金的；</w:t>
      </w:r>
    </w:p>
    <w:p w14:paraId="676A5A5D">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（13）投标文件未对招标文件作出实质性响应的；</w:t>
      </w:r>
    </w:p>
    <w:p w14:paraId="33EDA5E2">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（14）投标文件违反法律、法规要求，或本招标文件中另有规定为无效投标情形的；</w:t>
      </w:r>
    </w:p>
    <w:p w14:paraId="760998C9">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（15）不同投标人委托同一自然人进行投标的；</w:t>
      </w:r>
    </w:p>
    <w:p w14:paraId="6240E35C">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（16）投标文件资料不全或内容偏离本招标文件规定，评标委员认为未对招标文件作出实质性响应的；</w:t>
      </w:r>
    </w:p>
    <w:p w14:paraId="64AC4804">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（17）不同投标人的投标文件以及投标文件制作过程出现了评标委员会认为不应当雷同的情况的，</w:t>
      </w:r>
      <w:r>
        <w:rPr>
          <w:rFonts w:hint="eastAsia" w:ascii="宋体" w:hAnsi="宋体" w:cs="宋体"/>
          <w:b/>
          <w:bCs/>
          <w:color w:val="auto"/>
          <w:sz w:val="24"/>
          <w:szCs w:val="24"/>
          <w:highlight w:val="none"/>
        </w:rPr>
        <w:t>废标并没收其投标保证金</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如有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，招标人及监管部门将视情节严重程度保留进一步追加处罚的权利；</w:t>
      </w:r>
    </w:p>
    <w:p w14:paraId="71606E2C">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18）以他人的名义投标、串通投标、以行贿手段谋取中标或者以其他弄虚作假方式投标的；废标并没收其投标保证金，招标人及监管部门将视情节轻重列入非诚信企业黑名单，取消在洋口港经济开发区1-3年的依法必须进行招标项目的投标资格；</w:t>
      </w:r>
    </w:p>
    <w:p w14:paraId="08282202">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19）不同单位的投标经办人若为近亲关系的（父母、夫妻、子女等),视为串标行为，废标并没收其投标保证金，招标人及监管部门将视情节轻重列入非诚信企业黑名单，取消在洋口港经济开发区1-3年的依法必须进行招标项目的投标资格；</w:t>
      </w:r>
    </w:p>
    <w:p w14:paraId="5F14FC8A">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（20）若中标人放弃中标的，则没收投标保证金及履约保证金，同时招标人及监管部门将视情节轻重列入非诚信企业黑名单，取消在洋口港经济开发区1-3年的依法必须进行招标项目的投标资格</w:t>
      </w:r>
      <w:r>
        <w:rPr>
          <w:rFonts w:hint="eastAsia" w:ascii="宋体" w:hAnsi="宋体" w:cs="宋体"/>
          <w:color w:val="auto"/>
          <w:sz w:val="24"/>
          <w:szCs w:val="24"/>
          <w:highlight w:val="none"/>
          <w:lang w:eastAsia="zh-CN"/>
        </w:rPr>
        <w:t>；</w:t>
      </w:r>
    </w:p>
    <w:p w14:paraId="79561E81">
      <w:pPr>
        <w:keepNext w:val="0"/>
        <w:keepLines w:val="0"/>
        <w:pageBreakBefore w:val="0"/>
        <w:kinsoku/>
        <w:wordWrap/>
        <w:overflowPunct/>
        <w:topLinePunct w:val="0"/>
        <w:autoSpaceDE/>
        <w:autoSpaceDN/>
        <w:bidi w:val="0"/>
        <w:adjustRightInd w:val="0"/>
        <w:snapToGrid w:val="0"/>
        <w:spacing w:line="398"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2</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eastAsia="zh-CN"/>
        </w:rPr>
        <w:t>）投标人未在公共资源交易平台（</w:t>
      </w:r>
      <w:r>
        <w:rPr>
          <w:rFonts w:hint="eastAsia" w:ascii="宋体" w:hAnsi="宋体" w:cs="宋体"/>
          <w:b/>
          <w:bCs/>
          <w:color w:val="auto"/>
          <w:sz w:val="24"/>
          <w:highlight w:val="none"/>
          <w:lang w:eastAsia="zh-CN"/>
        </w:rPr>
        <w:t>http://www.rudong.net/</w:t>
      </w:r>
      <w:r>
        <w:rPr>
          <w:rFonts w:hint="eastAsia" w:ascii="宋体" w:hAnsi="宋体" w:eastAsia="宋体" w:cs="宋体"/>
          <w:b/>
          <w:bCs/>
          <w:color w:val="auto"/>
          <w:sz w:val="24"/>
          <w:highlight w:val="none"/>
          <w:lang w:eastAsia="zh-CN"/>
        </w:rPr>
        <w:t>→项目投标方）的项目投标方业务系统进行网上报名（即下载本项目</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lang w:eastAsia="zh-CN"/>
        </w:rPr>
        <w:t>文件及相关招标资料）</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 xml:space="preserve"> </w:t>
      </w:r>
    </w:p>
    <w:p w14:paraId="298D63A4">
      <w:pPr>
        <w:keepNext w:val="0"/>
        <w:keepLines w:val="0"/>
        <w:pageBreakBefore w:val="0"/>
        <w:kinsoku/>
        <w:wordWrap/>
        <w:overflowPunct/>
        <w:topLinePunct w:val="0"/>
        <w:autoSpaceDE/>
        <w:autoSpaceDN/>
        <w:bidi w:val="0"/>
        <w:adjustRightInd w:val="0"/>
        <w:snapToGrid w:val="0"/>
        <w:spacing w:line="398"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2</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eastAsia="zh-CN"/>
        </w:rPr>
        <w:t>）未按</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lang w:eastAsia="zh-CN"/>
        </w:rPr>
        <w:t>文件要求提供电子投标文件，或者投标文件未能解密且按照采购文件明确的投标文件解密失败的补救方案补救不成功的；</w:t>
      </w:r>
    </w:p>
    <w:p w14:paraId="681CF5A0">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废标条款：</w:t>
      </w:r>
    </w:p>
    <w:p w14:paraId="329D815E">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符合专业条件的</w:t>
      </w:r>
      <w:r>
        <w:rPr>
          <w:rFonts w:hint="eastAsia" w:ascii="宋体" w:hAnsi="宋体" w:cs="宋体"/>
          <w:bCs/>
          <w:color w:val="auto"/>
          <w:sz w:val="24"/>
          <w:szCs w:val="24"/>
          <w:highlight w:val="none"/>
          <w:lang w:val="en-US" w:eastAsia="zh-CN"/>
        </w:rPr>
        <w:t>投标人</w:t>
      </w:r>
      <w:r>
        <w:rPr>
          <w:rFonts w:hint="eastAsia" w:ascii="宋体" w:hAnsi="宋体" w:cs="宋体"/>
          <w:bCs/>
          <w:color w:val="auto"/>
          <w:sz w:val="24"/>
          <w:szCs w:val="24"/>
          <w:highlight w:val="none"/>
        </w:rPr>
        <w:t>或者对招标文件作实质响应的</w:t>
      </w:r>
      <w:r>
        <w:rPr>
          <w:rFonts w:hint="eastAsia" w:ascii="宋体" w:hAnsi="宋体" w:cs="宋体"/>
          <w:bCs/>
          <w:color w:val="auto"/>
          <w:sz w:val="24"/>
          <w:szCs w:val="24"/>
          <w:highlight w:val="none"/>
          <w:lang w:val="en-US" w:eastAsia="zh-CN"/>
        </w:rPr>
        <w:t>投标人</w:t>
      </w:r>
      <w:r>
        <w:rPr>
          <w:rFonts w:hint="eastAsia" w:ascii="宋体" w:hAnsi="宋体" w:cs="宋体"/>
          <w:bCs/>
          <w:color w:val="auto"/>
          <w:sz w:val="24"/>
          <w:szCs w:val="24"/>
          <w:highlight w:val="none"/>
        </w:rPr>
        <w:t>不足三家的；</w:t>
      </w:r>
    </w:p>
    <w:p w14:paraId="5090A85A">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出现影响采购公正的违法、违规行为的；</w:t>
      </w:r>
    </w:p>
    <w:p w14:paraId="0B28F416">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投标人所投标段的报价</w:t>
      </w:r>
      <w:r>
        <w:rPr>
          <w:rFonts w:hint="eastAsia" w:ascii="宋体" w:hAnsi="宋体" w:cs="宋体"/>
          <w:b/>
          <w:bCs/>
          <w:color w:val="auto"/>
          <w:sz w:val="24"/>
          <w:szCs w:val="24"/>
          <w:highlight w:val="none"/>
        </w:rPr>
        <w:t>均超过</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含等于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本项目招标</w:t>
      </w:r>
      <w:r>
        <w:rPr>
          <w:rFonts w:hint="eastAsia" w:ascii="宋体" w:hAnsi="宋体" w:cs="宋体"/>
          <w:b/>
          <w:bCs/>
          <w:color w:val="auto"/>
          <w:sz w:val="24"/>
          <w:szCs w:val="24"/>
          <w:highlight w:val="none"/>
          <w:lang w:val="en-US" w:eastAsia="zh-CN"/>
        </w:rPr>
        <w:t>预算</w:t>
      </w:r>
      <w:r>
        <w:rPr>
          <w:rFonts w:hint="eastAsia" w:ascii="宋体" w:hAnsi="宋体" w:cs="宋体"/>
          <w:b/>
          <w:bCs/>
          <w:color w:val="auto"/>
          <w:sz w:val="24"/>
          <w:szCs w:val="24"/>
          <w:highlight w:val="none"/>
        </w:rPr>
        <w:t>价的</w:t>
      </w:r>
      <w:r>
        <w:rPr>
          <w:rFonts w:hint="eastAsia" w:ascii="宋体" w:hAnsi="宋体" w:cs="宋体"/>
          <w:bCs/>
          <w:color w:val="auto"/>
          <w:sz w:val="24"/>
          <w:szCs w:val="24"/>
          <w:highlight w:val="none"/>
        </w:rPr>
        <w:t>；</w:t>
      </w:r>
    </w:p>
    <w:p w14:paraId="41287A07">
      <w:pPr>
        <w:keepNext w:val="0"/>
        <w:keepLines w:val="0"/>
        <w:pageBreakBefore w:val="0"/>
        <w:kinsoku/>
        <w:wordWrap/>
        <w:overflowPunct/>
        <w:topLinePunct w:val="0"/>
        <w:autoSpaceDE/>
        <w:autoSpaceDN/>
        <w:bidi w:val="0"/>
        <w:adjustRightInd w:val="0"/>
        <w:snapToGrid w:val="0"/>
        <w:spacing w:line="398"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因重大变故，采购任务取消的。</w:t>
      </w:r>
    </w:p>
    <w:bookmarkEnd w:id="0"/>
    <w:p w14:paraId="4F79741A">
      <w:pPr>
        <w:keepNext w:val="0"/>
        <w:keepLines w:val="0"/>
        <w:pageBreakBefore w:val="0"/>
        <w:kinsoku/>
        <w:wordWrap/>
        <w:overflowPunct/>
        <w:topLinePunct w:val="0"/>
        <w:autoSpaceDE/>
        <w:autoSpaceDN/>
        <w:bidi w:val="0"/>
        <w:spacing w:line="398" w:lineRule="exact"/>
        <w:textAlignment w:val="auto"/>
        <w:rPr>
          <w:rFonts w:ascii="宋体" w:hAnsi="宋体" w:cs="宋体"/>
          <w:b/>
          <w:color w:val="auto"/>
          <w:sz w:val="24"/>
          <w:highlight w:val="none"/>
        </w:rPr>
      </w:pPr>
      <w:r>
        <w:rPr>
          <w:rFonts w:hint="eastAsia" w:ascii="宋体" w:hAnsi="宋体" w:cs="宋体"/>
          <w:b/>
          <w:color w:val="auto"/>
          <w:sz w:val="24"/>
          <w:highlight w:val="none"/>
        </w:rPr>
        <w:t>五.报价要求</w:t>
      </w:r>
    </w:p>
    <w:p w14:paraId="24B46E1F">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1.投标人法定代表人或法定代表授权委托人必须按时到采购方指定地点提交投标文件。投标人法定代表授权委托人在开标过程中签署的文件、资料均作为投标文件的组成部分，具有法律效力。</w:t>
      </w:r>
    </w:p>
    <w:p w14:paraId="453FD55B">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2.投标文件和投标人法定代表人或法定代表授权委托人签署的文件、资料的有效期为60个日历日。</w:t>
      </w:r>
    </w:p>
    <w:p w14:paraId="60DA93A7">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投标报价包括本项目的全部内容，且为最终报价。</w:t>
      </w:r>
    </w:p>
    <w:p w14:paraId="1E1A3AD1">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4.本项目为一个完整标的，评标小组不接受有选择性、不完整或不正确的报价。</w:t>
      </w:r>
    </w:p>
    <w:p w14:paraId="3F06A08D">
      <w:pPr>
        <w:keepNext w:val="0"/>
        <w:keepLines w:val="0"/>
        <w:pageBreakBefore w:val="0"/>
        <w:widowControl/>
        <w:numPr>
          <w:ilvl w:val="0"/>
          <w:numId w:val="0"/>
        </w:numPr>
        <w:kinsoku/>
        <w:wordWrap/>
        <w:overflowPunct/>
        <w:topLinePunct w:val="0"/>
        <w:autoSpaceDE/>
        <w:autoSpaceDN/>
        <w:bidi w:val="0"/>
        <w:adjustRightInd w:val="0"/>
        <w:snapToGrid w:val="0"/>
        <w:spacing w:line="398"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5.</w:t>
      </w:r>
      <w:r>
        <w:rPr>
          <w:rFonts w:hint="eastAsia" w:ascii="宋体" w:hAnsi="宋体" w:cs="宋体"/>
          <w:b/>
          <w:bCs/>
          <w:color w:val="auto"/>
          <w:sz w:val="24"/>
          <w:highlight w:val="none"/>
          <w:lang w:val="en-US" w:eastAsia="zh-CN"/>
        </w:rPr>
        <w:t>本项目采用固定单价（全费用单价）的报</w:t>
      </w:r>
      <w:r>
        <w:rPr>
          <w:rFonts w:hint="eastAsia" w:ascii="宋体" w:hAnsi="宋体" w:eastAsia="宋体" w:cs="宋体"/>
          <w:b/>
          <w:bCs/>
          <w:color w:val="auto"/>
          <w:sz w:val="24"/>
          <w:highlight w:val="none"/>
          <w:lang w:val="en-US" w:eastAsia="zh-CN"/>
        </w:rPr>
        <w:t>价方式，除非合同中另有规定，报价中须包括“第二部分采购需求第六条、项目需求”中的供货、运杂费（包括卸货、二次搬运）费、包装费、保险费、</w:t>
      </w:r>
      <w:r>
        <w:rPr>
          <w:rFonts w:hint="eastAsia" w:ascii="宋体" w:hAnsi="宋体" w:cs="宋体"/>
          <w:b/>
          <w:bCs/>
          <w:color w:val="auto"/>
          <w:sz w:val="24"/>
          <w:highlight w:val="none"/>
          <w:lang w:val="en-US" w:eastAsia="zh-CN"/>
        </w:rPr>
        <w:t>处置费、评标专家费、利润、税金</w:t>
      </w:r>
      <w:r>
        <w:rPr>
          <w:rFonts w:hint="eastAsia" w:ascii="宋体" w:hAnsi="宋体" w:eastAsia="宋体" w:cs="宋体"/>
          <w:b/>
          <w:bCs/>
          <w:color w:val="auto"/>
          <w:sz w:val="24"/>
          <w:highlight w:val="none"/>
          <w:lang w:val="en-US" w:eastAsia="zh-CN"/>
        </w:rPr>
        <w:t>以及国家规定的各项费用等一切费用。</w:t>
      </w:r>
    </w:p>
    <w:p w14:paraId="016CF42C">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6.报价应书写端正、字迹清楚、不得涂改（涂改无效）。评标小组有权将未按规定填写的报价单视为无效报价单。</w:t>
      </w:r>
    </w:p>
    <w:p w14:paraId="59C7647E">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7.评标小组可以允许修正投标文件中不构成重大偏离的、微小的、非正规的、不一致的或不规则的地方。</w:t>
      </w:r>
    </w:p>
    <w:p w14:paraId="4FDBC186">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8.为有助于对投标文件的审查、评价和比较，评标小组有权要求供应商对其投标文件进行澄清。参加投标的供应商应当以书面形式进行确认。</w:t>
      </w:r>
    </w:p>
    <w:p w14:paraId="61CA447F">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如评标小组认为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评标小组有权取消其成交资格，按顺序由其他供应商递补，以此类推。</w:t>
      </w:r>
    </w:p>
    <w:p w14:paraId="6D1596F8">
      <w:pPr>
        <w:keepNext w:val="0"/>
        <w:keepLines w:val="0"/>
        <w:pageBreakBefore w:val="0"/>
        <w:kinsoku/>
        <w:wordWrap/>
        <w:overflowPunct/>
        <w:topLinePunct w:val="0"/>
        <w:autoSpaceDE/>
        <w:autoSpaceDN/>
        <w:bidi w:val="0"/>
        <w:spacing w:line="398" w:lineRule="exact"/>
        <w:textAlignment w:val="auto"/>
        <w:rPr>
          <w:rFonts w:ascii="宋体" w:hAnsi="宋体" w:cs="宋体"/>
          <w:b/>
          <w:color w:val="auto"/>
          <w:sz w:val="24"/>
          <w:highlight w:val="none"/>
        </w:rPr>
      </w:pPr>
      <w:r>
        <w:rPr>
          <w:rFonts w:hint="eastAsia" w:ascii="宋体" w:hAnsi="宋体" w:cs="宋体"/>
          <w:b/>
          <w:color w:val="auto"/>
          <w:sz w:val="24"/>
          <w:highlight w:val="none"/>
        </w:rPr>
        <w:t>六.投标要求</w:t>
      </w:r>
    </w:p>
    <w:p w14:paraId="7F2925E8">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1.投标文件：投标人必须按照本采购文件要求制作投标文件，投标文件内容见“第四部分  投标文件格式”。</w:t>
      </w:r>
    </w:p>
    <w:p w14:paraId="451FF9C8">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b/>
          <w:bCs/>
          <w:color w:val="auto"/>
          <w:sz w:val="24"/>
          <w:szCs w:val="24"/>
          <w:highlight w:val="none"/>
        </w:rPr>
      </w:pPr>
      <w:r>
        <w:rPr>
          <w:rFonts w:hint="eastAsia" w:ascii="宋体" w:hAnsi="宋体" w:cs="宋体"/>
          <w:color w:val="auto"/>
          <w:sz w:val="24"/>
          <w:highlight w:val="none"/>
        </w:rPr>
        <w:t>2.</w:t>
      </w:r>
      <w:r>
        <w:rPr>
          <w:rFonts w:hint="eastAsia" w:ascii="宋体" w:hAnsi="宋体" w:cs="宋体"/>
          <w:color w:val="auto"/>
          <w:sz w:val="24"/>
          <w:szCs w:val="24"/>
          <w:highlight w:val="none"/>
        </w:rPr>
        <w:t xml:space="preserve"> 投标保证金：</w:t>
      </w:r>
      <w:r>
        <w:rPr>
          <w:rFonts w:hint="eastAsia" w:ascii="宋体" w:hAnsi="宋体" w:cs="宋体"/>
          <w:b/>
          <w:bCs/>
          <w:color w:val="auto"/>
          <w:sz w:val="24"/>
          <w:highlight w:val="none"/>
          <w:lang w:val="en-US" w:eastAsia="zh-CN"/>
        </w:rPr>
        <w:t>免收</w:t>
      </w:r>
      <w:r>
        <w:rPr>
          <w:rFonts w:hint="eastAsia" w:ascii="宋体" w:hAnsi="宋体" w:cs="宋体"/>
          <w:b/>
          <w:color w:val="auto"/>
          <w:sz w:val="24"/>
          <w:highlight w:val="none"/>
        </w:rPr>
        <w:t>。</w:t>
      </w:r>
    </w:p>
    <w:p w14:paraId="0C25CA61">
      <w:pPr>
        <w:keepNext w:val="0"/>
        <w:keepLines w:val="0"/>
        <w:pageBreakBefore w:val="0"/>
        <w:kinsoku/>
        <w:wordWrap/>
        <w:overflowPunct/>
        <w:topLinePunct w:val="0"/>
        <w:autoSpaceDE/>
        <w:autoSpaceDN/>
        <w:bidi w:val="0"/>
        <w:adjustRightInd w:val="0"/>
        <w:snapToGrid w:val="0"/>
        <w:spacing w:line="398" w:lineRule="exact"/>
        <w:ind w:firstLine="482" w:firstLineChars="200"/>
        <w:textAlignment w:val="auto"/>
        <w:rPr>
          <w:rFonts w:hint="default" w:ascii="宋体" w:hAnsi="宋体" w:eastAsia="宋体" w:cs="宋体"/>
          <w:b/>
          <w:color w:val="auto"/>
          <w:sz w:val="24"/>
          <w:szCs w:val="24"/>
          <w:highlight w:val="none"/>
          <w:lang w:val="en-US"/>
        </w:rPr>
      </w:pP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en-US" w:eastAsia="zh-CN"/>
        </w:rPr>
        <w:t>履约保证金</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成交价的3%。</w:t>
      </w:r>
    </w:p>
    <w:p w14:paraId="1DA1BC66">
      <w:pPr>
        <w:keepNext w:val="0"/>
        <w:keepLines w:val="0"/>
        <w:pageBreakBefore w:val="0"/>
        <w:kinsoku/>
        <w:wordWrap/>
        <w:overflowPunct/>
        <w:topLinePunct w:val="0"/>
        <w:autoSpaceDE/>
        <w:autoSpaceDN/>
        <w:bidi w:val="0"/>
        <w:adjustRightInd w:val="0"/>
        <w:snapToGrid w:val="0"/>
        <w:spacing w:line="398" w:lineRule="exact"/>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r>
        <w:rPr>
          <w:rFonts w:hint="eastAsia" w:ascii="宋体" w:hAnsi="宋体" w:eastAsia="宋体" w:cs="宋体"/>
          <w:b/>
          <w:color w:val="auto"/>
          <w:sz w:val="24"/>
          <w:szCs w:val="24"/>
          <w:highlight w:val="none"/>
        </w:rPr>
        <w:t>在由</w:t>
      </w:r>
      <w:r>
        <w:rPr>
          <w:rFonts w:hint="eastAsia" w:ascii="宋体" w:hAnsi="宋体" w:eastAsia="宋体" w:cs="宋体"/>
          <w:b/>
          <w:color w:val="auto"/>
          <w:sz w:val="24"/>
          <w:szCs w:val="24"/>
          <w:highlight w:val="none"/>
          <w:lang w:val="en-US" w:eastAsia="zh-CN"/>
        </w:rPr>
        <w:t>成交供应商凭</w:t>
      </w:r>
      <w:r>
        <w:rPr>
          <w:rFonts w:hint="default" w:ascii="宋体" w:hAnsi="宋体" w:eastAsia="宋体" w:cs="宋体"/>
          <w:b/>
          <w:color w:val="auto"/>
          <w:sz w:val="24"/>
          <w:szCs w:val="24"/>
          <w:highlight w:val="none"/>
          <w:lang w:val="en-US" w:eastAsia="zh-CN"/>
        </w:rPr>
        <w:t>①经区交易中心备案的合同原件；②招标人签发的项目验收合格单后按规定退还（无息)。</w:t>
      </w:r>
    </w:p>
    <w:p w14:paraId="75927959">
      <w:pPr>
        <w:keepNext w:val="0"/>
        <w:keepLines w:val="0"/>
        <w:pageBreakBefore w:val="0"/>
        <w:tabs>
          <w:tab w:val="left" w:pos="900"/>
        </w:tabs>
        <w:kinsoku/>
        <w:wordWrap/>
        <w:overflowPunct/>
        <w:topLinePunct w:val="0"/>
        <w:autoSpaceDE/>
        <w:autoSpaceDN/>
        <w:bidi w:val="0"/>
        <w:snapToGrid w:val="0"/>
        <w:spacing w:line="398"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4.中标人在中标公示期满后5日内须按规定在本项目所在地（如东县洋口港经济开发区）领取中标通知书，在中标通知书发出后7日内缴纳履约保证金，</w:t>
      </w:r>
      <w:r>
        <w:rPr>
          <w:rFonts w:hint="eastAsia" w:ascii="宋体" w:hAnsi="宋体" w:cs="宋体"/>
          <w:b/>
          <w:bCs/>
          <w:color w:val="auto"/>
          <w:sz w:val="24"/>
          <w:highlight w:val="none"/>
          <w:lang w:val="en-US" w:eastAsia="zh-CN"/>
        </w:rPr>
        <w:t>履约保证金提交形式为银行转账、银行保函等方式（接收账户为招标人指定账户）</w:t>
      </w:r>
      <w:r>
        <w:rPr>
          <w:rFonts w:hint="eastAsia" w:ascii="宋体" w:hAnsi="宋体" w:eastAsia="宋体" w:cs="宋体"/>
          <w:b/>
          <w:bCs/>
          <w:color w:val="auto"/>
          <w:sz w:val="24"/>
          <w:highlight w:val="none"/>
          <w:lang w:val="en-US" w:eastAsia="zh-CN"/>
        </w:rPr>
        <w:t>，履约保证金在项目完工验收合格后退还；中标人在中标通知书发出后14日内与招标人签订合同；中标人在中标通知书发出后21日内将与招标人签订的合同原件递交区交易中心进行备案；若中标人放弃中标或因自身原因未能按上述时间节点办理以上相关手续并因此影响项目实施进程，甚至给招标人造成恶劣影响或损失，则视为违约，招标人及区公共资源交易中心将视情节恶劣程度有权作出“取消中标资格，没收投标保证金及履约保证金，并可视情节轻重列入非诚信企业黑名单，取消在洋口港经济开发区1-3年的依法必须进行招标项目的投标资格”等相关处罚措施。</w:t>
      </w:r>
    </w:p>
    <w:p w14:paraId="72136DDE">
      <w:pPr>
        <w:keepNext w:val="0"/>
        <w:keepLines w:val="0"/>
        <w:pageBreakBefore w:val="0"/>
        <w:tabs>
          <w:tab w:val="left" w:pos="900"/>
        </w:tabs>
        <w:kinsoku/>
        <w:wordWrap/>
        <w:overflowPunct/>
        <w:topLinePunct w:val="0"/>
        <w:autoSpaceDE/>
        <w:autoSpaceDN/>
        <w:bidi w:val="0"/>
        <w:snapToGrid w:val="0"/>
        <w:spacing w:line="398"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递交地点：电子标书递交信息系统（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78465926">
      <w:pPr>
        <w:keepNext w:val="0"/>
        <w:keepLines w:val="0"/>
        <w:pageBreakBefore w:val="0"/>
        <w:kinsoku/>
        <w:wordWrap/>
        <w:overflowPunct/>
        <w:topLinePunct w:val="0"/>
        <w:autoSpaceDE/>
        <w:autoSpaceDN/>
        <w:bidi w:val="0"/>
        <w:spacing w:line="398" w:lineRule="exact"/>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.其它说明</w:t>
      </w:r>
    </w:p>
    <w:p w14:paraId="6ABEBCD1">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1、无论本次招标招标的过程和结果如何，投标人自行承担所有与本次招标有关的全部费用。</w:t>
      </w:r>
    </w:p>
    <w:p w14:paraId="17AC1C9C">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须承担本项目评</w:t>
      </w:r>
      <w:r>
        <w:rPr>
          <w:rFonts w:hint="eastAsia" w:ascii="宋体" w:hAnsi="宋体" w:cs="宋体"/>
          <w:color w:val="auto"/>
          <w:sz w:val="24"/>
          <w:highlight w:val="none"/>
          <w:lang w:val="en-US" w:eastAsia="zh-CN"/>
        </w:rPr>
        <w:t>标专家</w:t>
      </w:r>
      <w:r>
        <w:rPr>
          <w:rFonts w:hint="eastAsia" w:ascii="宋体" w:hAnsi="宋体" w:eastAsia="宋体" w:cs="宋体"/>
          <w:color w:val="auto"/>
          <w:sz w:val="24"/>
          <w:highlight w:val="none"/>
        </w:rPr>
        <w:t>费，采购代理机构在任何情况下均无义务和责任承担这些费用，</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须综合考虑在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报价内</w:t>
      </w:r>
      <w:r>
        <w:rPr>
          <w:rFonts w:hint="eastAsia" w:ascii="宋体" w:hAnsi="宋体" w:eastAsia="宋体" w:cs="宋体"/>
          <w:color w:val="auto"/>
          <w:sz w:val="24"/>
          <w:highlight w:val="none"/>
          <w:lang w:eastAsia="zh-CN"/>
        </w:rPr>
        <w:t>。</w:t>
      </w:r>
    </w:p>
    <w:p w14:paraId="72924642">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w:t>
      </w:r>
      <w:r>
        <w:rPr>
          <w:rFonts w:hint="eastAsia" w:ascii="宋体" w:hAnsi="宋体" w:cs="宋体"/>
          <w:b/>
          <w:color w:val="auto"/>
          <w:sz w:val="24"/>
          <w:szCs w:val="24"/>
          <w:highlight w:val="none"/>
          <w:lang w:eastAsia="zh-CN"/>
        </w:rPr>
        <w:t>成交供应商</w:t>
      </w:r>
      <w:r>
        <w:rPr>
          <w:rFonts w:hint="eastAsia" w:ascii="宋体" w:hAnsi="宋体" w:eastAsia="宋体" w:cs="宋体"/>
          <w:b/>
          <w:color w:val="auto"/>
          <w:sz w:val="24"/>
          <w:szCs w:val="24"/>
          <w:highlight w:val="none"/>
        </w:rPr>
        <w:t>在中标公示期满后5日内须按规定在本项目所在地（如东县洋口港经济开发区）领取中标通知书，在中标通知书发出后7日内缴纳</w:t>
      </w:r>
      <w:r>
        <w:rPr>
          <w:rFonts w:hint="eastAsia" w:ascii="宋体" w:hAnsi="宋体" w:eastAsia="宋体" w:cs="宋体"/>
          <w:b/>
          <w:color w:val="auto"/>
          <w:sz w:val="24"/>
          <w:szCs w:val="24"/>
          <w:highlight w:val="none"/>
          <w:lang w:val="en-US" w:eastAsia="zh-CN"/>
        </w:rPr>
        <w:t>中标价的3%</w:t>
      </w:r>
      <w:r>
        <w:rPr>
          <w:rFonts w:hint="eastAsia" w:ascii="宋体" w:hAnsi="宋体" w:eastAsia="宋体" w:cs="宋体"/>
          <w:b/>
          <w:color w:val="auto"/>
          <w:sz w:val="24"/>
          <w:szCs w:val="24"/>
          <w:highlight w:val="none"/>
        </w:rPr>
        <w:t>，作为履约保证金，</w:t>
      </w:r>
      <w:r>
        <w:rPr>
          <w:rFonts w:hint="eastAsia" w:ascii="宋体" w:hAnsi="宋体" w:cs="宋体"/>
          <w:b/>
          <w:bCs/>
          <w:color w:val="auto"/>
          <w:sz w:val="24"/>
          <w:highlight w:val="none"/>
          <w:lang w:val="en-US" w:eastAsia="zh-CN"/>
        </w:rPr>
        <w:t>履约保证金提交形式为银行转账、银行保函等方式（接收账户为招标人指定账户）</w:t>
      </w:r>
      <w:r>
        <w:rPr>
          <w:rFonts w:hint="eastAsia" w:ascii="宋体" w:hAnsi="宋体" w:eastAsia="宋体" w:cs="宋体"/>
          <w:b/>
          <w:color w:val="auto"/>
          <w:sz w:val="24"/>
          <w:szCs w:val="24"/>
          <w:highlight w:val="none"/>
        </w:rPr>
        <w:t>，履约保证金在项目</w:t>
      </w:r>
      <w:r>
        <w:rPr>
          <w:rFonts w:hint="eastAsia" w:ascii="宋体" w:hAnsi="宋体" w:cs="宋体"/>
          <w:b/>
          <w:color w:val="auto"/>
          <w:sz w:val="24"/>
          <w:szCs w:val="24"/>
          <w:highlight w:val="none"/>
          <w:lang w:val="en-US" w:eastAsia="zh-CN"/>
        </w:rPr>
        <w:t>完成且</w:t>
      </w:r>
      <w:r>
        <w:rPr>
          <w:rFonts w:hint="eastAsia" w:ascii="宋体" w:hAnsi="宋体" w:eastAsia="宋体" w:cs="宋体"/>
          <w:b/>
          <w:color w:val="auto"/>
          <w:sz w:val="24"/>
          <w:szCs w:val="24"/>
          <w:highlight w:val="none"/>
        </w:rPr>
        <w:t>验收合格后退还；</w:t>
      </w:r>
      <w:r>
        <w:rPr>
          <w:rFonts w:hint="eastAsia" w:ascii="宋体" w:hAnsi="宋体" w:cs="宋体"/>
          <w:b/>
          <w:color w:val="auto"/>
          <w:sz w:val="24"/>
          <w:szCs w:val="24"/>
          <w:highlight w:val="none"/>
          <w:lang w:eastAsia="zh-CN"/>
        </w:rPr>
        <w:t>成交供应商</w:t>
      </w:r>
      <w:r>
        <w:rPr>
          <w:rFonts w:hint="eastAsia" w:ascii="宋体" w:hAnsi="宋体" w:eastAsia="宋体" w:cs="宋体"/>
          <w:b/>
          <w:color w:val="auto"/>
          <w:sz w:val="24"/>
          <w:szCs w:val="24"/>
          <w:highlight w:val="none"/>
        </w:rPr>
        <w:t>在中标通知书发出后1</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日内与采购人签订合同；</w:t>
      </w:r>
      <w:r>
        <w:rPr>
          <w:rFonts w:hint="eastAsia" w:ascii="宋体" w:hAnsi="宋体" w:cs="宋体"/>
          <w:b/>
          <w:color w:val="auto"/>
          <w:sz w:val="24"/>
          <w:szCs w:val="24"/>
          <w:highlight w:val="none"/>
          <w:lang w:eastAsia="zh-CN"/>
        </w:rPr>
        <w:t>成交供应商</w:t>
      </w:r>
      <w:r>
        <w:rPr>
          <w:rFonts w:hint="eastAsia" w:ascii="宋体" w:hAnsi="宋体" w:eastAsia="宋体" w:cs="宋体"/>
          <w:b/>
          <w:color w:val="auto"/>
          <w:sz w:val="24"/>
          <w:szCs w:val="24"/>
          <w:highlight w:val="none"/>
        </w:rPr>
        <w:t>在中标通知书发出后21日内将与采购人签订的合同原件递交区交易中心进行备案；若</w:t>
      </w:r>
      <w:r>
        <w:rPr>
          <w:rFonts w:hint="eastAsia" w:ascii="宋体" w:hAnsi="宋体" w:cs="宋体"/>
          <w:b/>
          <w:color w:val="auto"/>
          <w:sz w:val="24"/>
          <w:szCs w:val="24"/>
          <w:highlight w:val="none"/>
          <w:lang w:eastAsia="zh-CN"/>
        </w:rPr>
        <w:t>成交供应商</w:t>
      </w:r>
      <w:r>
        <w:rPr>
          <w:rFonts w:hint="eastAsia" w:ascii="宋体" w:hAnsi="宋体" w:eastAsia="宋体" w:cs="宋体"/>
          <w:b/>
          <w:color w:val="auto"/>
          <w:sz w:val="24"/>
          <w:szCs w:val="24"/>
          <w:highlight w:val="none"/>
        </w:rPr>
        <w:t>因自身原因未能按上述时间节点办理以上相关手续并因此影响项目实施进程，甚至给招标人造成恶劣影响或损失，则视为违约，招标人及区公共资源交易中心将视情节恶劣程度有权作出“取消中标资格或没收投标保证金或列入非诚信企业黑名单”等相关处罚措施</w:t>
      </w:r>
      <w:r>
        <w:rPr>
          <w:rFonts w:hint="eastAsia" w:ascii="宋体" w:hAnsi="宋体" w:cs="宋体"/>
          <w:b/>
          <w:color w:val="auto"/>
          <w:sz w:val="24"/>
          <w:highlight w:val="none"/>
        </w:rPr>
        <w:t>。</w:t>
      </w:r>
    </w:p>
    <w:p w14:paraId="732EFC0C">
      <w:pPr>
        <w:keepNext w:val="0"/>
        <w:keepLines w:val="0"/>
        <w:pageBreakBefore w:val="0"/>
        <w:kinsoku/>
        <w:wordWrap/>
        <w:overflowPunct/>
        <w:topLinePunct w:val="0"/>
        <w:autoSpaceDE/>
        <w:autoSpaceDN/>
        <w:bidi w:val="0"/>
        <w:spacing w:line="398" w:lineRule="exact"/>
        <w:ind w:firstLine="482" w:firstLineChars="200"/>
        <w:textAlignment w:val="auto"/>
        <w:rPr>
          <w:rFonts w:ascii="宋体" w:hAnsi="宋体" w:cs="宋体"/>
          <w:b/>
          <w:color w:val="auto"/>
          <w:sz w:val="24"/>
          <w:highlight w:val="none"/>
          <w:lang w:val="zh-CN"/>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应根据国家、省、市、工程所在地政府及相关部门的规定缴纳有关费用，该费用已包含在报价中，招标人不另行给付，费用缴纳的标准</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可向有关部门查询。</w:t>
      </w:r>
    </w:p>
    <w:p w14:paraId="1FAE031B">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、投标人如对本采购文件</w:t>
      </w:r>
      <w:r>
        <w:rPr>
          <w:rFonts w:hint="eastAsia" w:ascii="宋体" w:hAnsi="宋体" w:cs="宋体"/>
          <w:color w:val="auto"/>
          <w:sz w:val="24"/>
          <w:highlight w:val="none"/>
        </w:rPr>
        <w:t>中的需求有疑问或不明之处，可与招标人联系，招标人对项目需求有解释权。</w:t>
      </w:r>
    </w:p>
    <w:p w14:paraId="798C18E2">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投标人或成交供应商有下列情形之一的，按本采购文件及《中华人民共和国招标投标法》等相关法律法规给予处罚：①在招标过程中，投标人有违法违规行为的；②投标人在投标有效期内撤回投标的；③成交供应商放弃中标资格的；④成交供应商不按规定签定合同的；⑤投标人或成交供应商有违反“投标诚信承诺书”承诺约定的⑥投标人或成交供应商有其他违反本采购文件及《中华人民共和国招标投标法》等相关法律法规的行为的。</w:t>
      </w:r>
    </w:p>
    <w:p w14:paraId="16200F7F">
      <w:pPr>
        <w:keepNext w:val="0"/>
        <w:keepLines w:val="0"/>
        <w:pageBreakBefore w:val="0"/>
        <w:kinsoku/>
        <w:wordWrap/>
        <w:overflowPunct/>
        <w:topLinePunct w:val="0"/>
        <w:autoSpaceDE/>
        <w:autoSpaceDN/>
        <w:bidi w:val="0"/>
        <w:spacing w:line="398" w:lineRule="exact"/>
        <w:ind w:firstLine="480" w:firstLineChars="200"/>
        <w:textAlignment w:val="auto"/>
        <w:rPr>
          <w:rFonts w:ascii="宋体" w:hAnsi="宋体" w:cs="宋体"/>
          <w:b/>
          <w:color w:val="auto"/>
          <w:sz w:val="32"/>
          <w:szCs w:val="32"/>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、采购方不解释落标原因，不退还投标文件。</w:t>
      </w:r>
    </w:p>
    <w:p w14:paraId="677F1E8A">
      <w:pPr>
        <w:keepNext w:val="0"/>
        <w:keepLines w:val="0"/>
        <w:pageBreakBefore w:val="0"/>
        <w:kinsoku/>
        <w:wordWrap/>
        <w:overflowPunct/>
        <w:topLinePunct w:val="0"/>
        <w:autoSpaceDE/>
        <w:autoSpaceDN/>
        <w:bidi w:val="0"/>
        <w:spacing w:line="398"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8、本项目已通过公平竞争审查：</w:t>
      </w:r>
    </w:p>
    <w:p w14:paraId="4504B093">
      <w:pPr>
        <w:pStyle w:val="2"/>
        <w:rPr>
          <w:rFonts w:hint="eastAsia"/>
          <w:lang w:val="en-US" w:eastAsia="zh-CN"/>
        </w:rPr>
        <w:sectPr>
          <w:footerReference r:id="rId5" w:type="first"/>
          <w:headerReference r:id="rId3" w:type="default"/>
          <w:footerReference r:id="rId4" w:type="default"/>
          <w:pgSz w:w="11906" w:h="16838"/>
          <w:pgMar w:top="1440" w:right="1080" w:bottom="1440" w:left="1080" w:header="851" w:footer="992" w:gutter="0"/>
          <w:pgNumType w:fmt="decimal"/>
          <w:cols w:space="720" w:num="1"/>
          <w:titlePg/>
          <w:docGrid w:type="lines" w:linePitch="312" w:charSpace="0"/>
        </w:sectPr>
      </w:pPr>
      <w:r>
        <w:rPr>
          <w:rFonts w:hint="eastAsia"/>
          <w:lang w:val="en-US" w:eastAsia="zh-CN"/>
        </w:rPr>
        <w:drawing>
          <wp:inline distT="0" distB="0" distL="114300" distR="114300">
            <wp:extent cx="1595120" cy="1639570"/>
            <wp:effectExtent l="0" t="0" r="5080" b="6350"/>
            <wp:docPr id="1" name="图片 1" descr="b771f13e2ea54348ba764b643a81c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71f13e2ea54348ba764b643a81c4b5"/>
                    <pic:cNvPicPr>
                      <a:picLocks noChangeAspect="1"/>
                    </pic:cNvPicPr>
                  </pic:nvPicPr>
                  <pic:blipFill>
                    <a:blip r:embed="rId7"/>
                    <a:stretch>
                      <a:fillRect/>
                    </a:stretch>
                  </pic:blipFill>
                  <pic:spPr>
                    <a:xfrm>
                      <a:off x="0" y="0"/>
                      <a:ext cx="1595120" cy="1639570"/>
                    </a:xfrm>
                    <a:prstGeom prst="rect">
                      <a:avLst/>
                    </a:prstGeom>
                  </pic:spPr>
                </pic:pic>
              </a:graphicData>
            </a:graphic>
          </wp:inline>
        </w:drawing>
      </w:r>
    </w:p>
    <w:p w14:paraId="2709D64D">
      <w:pPr>
        <w:spacing w:line="4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第四部分   投标文件格式</w:t>
      </w:r>
    </w:p>
    <w:p w14:paraId="034D55FF">
      <w:pPr>
        <w:spacing w:line="420" w:lineRule="exact"/>
        <w:ind w:left="540"/>
        <w:rPr>
          <w:rFonts w:ascii="宋体" w:hAnsi="宋体" w:cs="宋体"/>
          <w:b/>
          <w:color w:val="auto"/>
          <w:sz w:val="24"/>
          <w:highlight w:val="none"/>
        </w:rPr>
      </w:pPr>
    </w:p>
    <w:p w14:paraId="03C15ADE">
      <w:pPr>
        <w:snapToGrid w:val="0"/>
        <w:spacing w:line="400" w:lineRule="exact"/>
        <w:rPr>
          <w:rFonts w:ascii="宋体" w:hAnsi="宋体"/>
          <w:b/>
          <w:bCs/>
          <w:color w:val="auto"/>
          <w:sz w:val="24"/>
          <w:szCs w:val="24"/>
          <w:highlight w:val="none"/>
        </w:rPr>
      </w:pPr>
      <w:r>
        <w:rPr>
          <w:rFonts w:hint="eastAsia" w:ascii="宋体" w:hAnsi="宋体" w:cs="宋体"/>
          <w:b/>
          <w:bCs/>
          <w:color w:val="auto"/>
          <w:kern w:val="0"/>
          <w:sz w:val="24"/>
          <w:szCs w:val="24"/>
          <w:highlight w:val="none"/>
        </w:rPr>
        <w:t>一</w:t>
      </w:r>
      <w:r>
        <w:rPr>
          <w:rFonts w:hint="eastAsia" w:ascii="宋体" w:hAnsi="宋体"/>
          <w:b/>
          <w:bCs/>
          <w:color w:val="auto"/>
          <w:sz w:val="24"/>
          <w:szCs w:val="24"/>
          <w:highlight w:val="none"/>
        </w:rPr>
        <w:t>、投标文件的制作及密封</w:t>
      </w:r>
    </w:p>
    <w:p w14:paraId="5B0E1F5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1.投标文件分为资审文件和经济标文件两个部分。</w:t>
      </w:r>
    </w:p>
    <w:p w14:paraId="62F90C12">
      <w:pPr>
        <w:spacing w:line="40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r>
        <w:rPr>
          <w:rFonts w:hint="eastAsia" w:ascii="宋体" w:hAnsi="宋体" w:cs="宋体"/>
          <w:b/>
          <w:bCs/>
          <w:color w:val="auto"/>
          <w:sz w:val="24"/>
          <w:szCs w:val="24"/>
          <w:highlight w:val="none"/>
        </w:rPr>
        <w:t>。</w:t>
      </w:r>
    </w:p>
    <w:p w14:paraId="71A64A36">
      <w:pPr>
        <w:spacing w:line="400" w:lineRule="exact"/>
        <w:rPr>
          <w:rFonts w:ascii="宋体" w:hAnsi="宋体" w:cs="宋体"/>
          <w:b/>
          <w:color w:val="auto"/>
          <w:sz w:val="24"/>
          <w:highlight w:val="none"/>
        </w:rPr>
      </w:pPr>
      <w:r>
        <w:rPr>
          <w:rFonts w:hint="eastAsia" w:ascii="宋体" w:hAnsi="宋体" w:cs="宋体"/>
          <w:b/>
          <w:color w:val="auto"/>
          <w:sz w:val="24"/>
          <w:highlight w:val="none"/>
        </w:rPr>
        <w:t>二、投标文件内容</w:t>
      </w:r>
    </w:p>
    <w:p w14:paraId="41EA3BE6">
      <w:pPr>
        <w:spacing w:line="400" w:lineRule="exact"/>
        <w:ind w:firstLine="480" w:firstLineChars="200"/>
        <w:rPr>
          <w:rFonts w:ascii="宋体" w:hAnsi="宋体" w:cs="宋体"/>
          <w:b/>
          <w:bCs/>
          <w:color w:val="auto"/>
          <w:sz w:val="24"/>
          <w:highlight w:val="none"/>
        </w:rPr>
      </w:pPr>
      <w:r>
        <w:rPr>
          <w:rFonts w:hint="eastAsia" w:ascii="宋体" w:hAnsi="宋体" w:cs="宋体"/>
          <w:color w:val="auto"/>
          <w:sz w:val="24"/>
          <w:szCs w:val="24"/>
          <w:highlight w:val="none"/>
        </w:rPr>
        <w:t>投标文件（A资审文件和B经济标文件）必须按照以下格式制作，资审文件须按照序号进行装订。</w:t>
      </w:r>
      <w:r>
        <w:rPr>
          <w:rFonts w:hint="eastAsia" w:ascii="宋体" w:hAnsi="宋体" w:cs="宋体"/>
          <w:b/>
          <w:color w:val="auto"/>
          <w:sz w:val="24"/>
          <w:szCs w:val="24"/>
          <w:highlight w:val="none"/>
        </w:rPr>
        <w:t>以下</w:t>
      </w:r>
      <w:r>
        <w:rPr>
          <w:rFonts w:hint="eastAsia" w:ascii="宋体" w:hAnsi="宋体" w:cs="宋体"/>
          <w:b/>
          <w:bCs/>
          <w:color w:val="auto"/>
          <w:sz w:val="24"/>
          <w:szCs w:val="24"/>
          <w:highlight w:val="none"/>
        </w:rPr>
        <w:t>带</w:t>
      </w:r>
      <w:r>
        <w:rPr>
          <w:rFonts w:hint="eastAsia" w:ascii="宋体" w:hAnsi="宋体" w:cs="宋体"/>
          <w:b/>
          <w:color w:val="auto"/>
          <w:sz w:val="24"/>
          <w:szCs w:val="24"/>
          <w:highlight w:val="none"/>
        </w:rPr>
        <w:t>*内容</w:t>
      </w:r>
      <w:r>
        <w:rPr>
          <w:rFonts w:hint="eastAsia" w:ascii="宋体" w:hAnsi="宋体" w:cs="宋体"/>
          <w:b/>
          <w:bCs/>
          <w:color w:val="auto"/>
          <w:sz w:val="24"/>
          <w:szCs w:val="24"/>
          <w:highlight w:val="none"/>
        </w:rPr>
        <w:t>必须全部提供，并加盖投标人红色实物公章或电子签章。</w:t>
      </w:r>
      <w:r>
        <w:rPr>
          <w:rFonts w:hint="eastAsia" w:ascii="宋体" w:hAnsi="宋体"/>
          <w:color w:val="auto"/>
          <w:sz w:val="24"/>
          <w:szCs w:val="24"/>
          <w:highlight w:val="none"/>
        </w:rPr>
        <w:t>投标人公章仅指与当事人名称全称相一致的标准公章，不得使用其它形式（如带有“专用章”等字样的印章）。不符合本条规定的投标，评标委员有权拒绝或做无效投标处理。</w:t>
      </w:r>
    </w:p>
    <w:p w14:paraId="52DF90F9">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A、资审文件部分：</w:t>
      </w:r>
    </w:p>
    <w:p w14:paraId="3CEA7067">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 资审文件封面格式（见附件一）</w:t>
      </w:r>
    </w:p>
    <w:p w14:paraId="3DCB59EE">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rPr>
        <w:t>法定代表人身份证明书（格式见附件二）、法定代表人身份证</w:t>
      </w:r>
      <w:r>
        <w:rPr>
          <w:rFonts w:hint="eastAsia" w:ascii="宋体" w:hAnsi="宋体"/>
          <w:color w:val="auto"/>
          <w:sz w:val="24"/>
          <w:szCs w:val="24"/>
          <w:highlight w:val="none"/>
          <w:lang w:val="en-US" w:eastAsia="zh-CN"/>
        </w:rPr>
        <w:t>扫描</w:t>
      </w:r>
      <w:r>
        <w:rPr>
          <w:rFonts w:hint="eastAsia" w:ascii="宋体" w:hAnsi="宋体"/>
          <w:color w:val="auto"/>
          <w:sz w:val="24"/>
          <w:szCs w:val="24"/>
          <w:highlight w:val="none"/>
        </w:rPr>
        <w:t>件</w:t>
      </w:r>
      <w:r>
        <w:rPr>
          <w:rFonts w:hint="eastAsia" w:ascii="宋体" w:hAnsi="宋体" w:cs="宋体"/>
          <w:b/>
          <w:bCs/>
          <w:color w:val="auto"/>
          <w:sz w:val="24"/>
          <w:szCs w:val="24"/>
          <w:highlight w:val="none"/>
        </w:rPr>
        <w:t>（须加盖投标人电子签章或红色实物</w:t>
      </w:r>
      <w:r>
        <w:rPr>
          <w:rFonts w:hint="eastAsia" w:ascii="宋体" w:hAnsi="宋体" w:eastAsia="宋体" w:cs="宋体"/>
          <w:b/>
          <w:bCs/>
          <w:color w:val="auto"/>
          <w:sz w:val="24"/>
          <w:szCs w:val="24"/>
          <w:highlight w:val="none"/>
        </w:rPr>
        <w:t>公章</w:t>
      </w:r>
      <w:r>
        <w:rPr>
          <w:rFonts w:hint="eastAsia" w:ascii="宋体" w:hAnsi="宋体" w:cs="宋体"/>
          <w:b/>
          <w:bCs/>
          <w:color w:val="auto"/>
          <w:sz w:val="24"/>
          <w:szCs w:val="24"/>
          <w:highlight w:val="none"/>
        </w:rPr>
        <w:t>）</w:t>
      </w:r>
      <w:r>
        <w:rPr>
          <w:rFonts w:hint="eastAsia" w:ascii="宋体" w:hAnsi="宋体"/>
          <w:color w:val="auto"/>
          <w:sz w:val="24"/>
          <w:szCs w:val="24"/>
          <w:highlight w:val="none"/>
        </w:rPr>
        <w:t>；</w:t>
      </w:r>
    </w:p>
    <w:p w14:paraId="7CA79983">
      <w:pPr>
        <w:pStyle w:val="2"/>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rPr>
        <w:t>法定代表人授权委托书（格式见附件三）、授权委托人（即代理人）身份证</w:t>
      </w:r>
      <w:r>
        <w:rPr>
          <w:rFonts w:hint="eastAsia" w:ascii="宋体" w:hAnsi="宋体"/>
          <w:color w:val="auto"/>
          <w:sz w:val="24"/>
          <w:szCs w:val="24"/>
          <w:highlight w:val="none"/>
          <w:lang w:val="en-US" w:eastAsia="zh-CN"/>
        </w:rPr>
        <w:t>扫描</w:t>
      </w:r>
      <w:r>
        <w:rPr>
          <w:rFonts w:hint="eastAsia" w:ascii="宋体" w:hAnsi="宋体"/>
          <w:color w:val="auto"/>
          <w:sz w:val="24"/>
          <w:szCs w:val="24"/>
          <w:highlight w:val="none"/>
        </w:rPr>
        <w:t>件</w:t>
      </w:r>
      <w:r>
        <w:rPr>
          <w:rFonts w:hint="eastAsia" w:ascii="宋体" w:hAnsi="宋体" w:cs="宋体"/>
          <w:bCs/>
          <w:color w:val="auto"/>
          <w:sz w:val="24"/>
          <w:highlight w:val="none"/>
        </w:rPr>
        <w:t>（法定代表人本人来投标的不需要提供）</w:t>
      </w:r>
      <w:r>
        <w:rPr>
          <w:rFonts w:hint="eastAsia" w:ascii="宋体" w:hAnsi="宋体"/>
          <w:color w:val="auto"/>
          <w:sz w:val="24"/>
          <w:szCs w:val="24"/>
          <w:highlight w:val="none"/>
        </w:rPr>
        <w:t>；</w:t>
      </w:r>
      <w:r>
        <w:rPr>
          <w:rFonts w:hint="eastAsia" w:ascii="宋体" w:hAnsi="宋体" w:cs="宋体"/>
          <w:b/>
          <w:bCs/>
          <w:color w:val="auto"/>
          <w:sz w:val="24"/>
          <w:szCs w:val="24"/>
          <w:highlight w:val="none"/>
        </w:rPr>
        <w:t>（须加盖投标人电子签章或红色实物</w:t>
      </w:r>
      <w:r>
        <w:rPr>
          <w:rFonts w:hint="eastAsia" w:ascii="宋体" w:hAnsi="宋体" w:eastAsia="宋体" w:cs="宋体"/>
          <w:b/>
          <w:bCs/>
          <w:color w:val="auto"/>
          <w:sz w:val="24"/>
          <w:szCs w:val="24"/>
          <w:highlight w:val="none"/>
        </w:rPr>
        <w:t>公章</w:t>
      </w:r>
      <w:r>
        <w:rPr>
          <w:rFonts w:hint="eastAsia" w:ascii="宋体" w:hAnsi="宋体" w:cs="宋体"/>
          <w:b/>
          <w:bCs/>
          <w:color w:val="auto"/>
          <w:sz w:val="24"/>
          <w:szCs w:val="24"/>
          <w:highlight w:val="none"/>
        </w:rPr>
        <w:t>）</w:t>
      </w:r>
    </w:p>
    <w:p w14:paraId="2659144B">
      <w:pPr>
        <w:pStyle w:val="2"/>
        <w:spacing w:line="400" w:lineRule="exact"/>
        <w:ind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*4.有效的企业法人营业执照</w:t>
      </w:r>
      <w:r>
        <w:rPr>
          <w:rFonts w:hint="eastAsia" w:ascii="宋体" w:hAnsi="宋体"/>
          <w:b/>
          <w:bCs/>
          <w:color w:val="auto"/>
          <w:sz w:val="24"/>
          <w:szCs w:val="24"/>
          <w:highlight w:val="none"/>
          <w:lang w:val="en-US" w:eastAsia="zh-CN"/>
        </w:rPr>
        <w:t>扫描件；</w:t>
      </w:r>
      <w:r>
        <w:rPr>
          <w:rFonts w:hint="eastAsia" w:ascii="宋体" w:hAnsi="宋体" w:cs="宋体"/>
          <w:b/>
          <w:bCs/>
          <w:color w:val="auto"/>
          <w:sz w:val="24"/>
          <w:szCs w:val="24"/>
          <w:highlight w:val="none"/>
        </w:rPr>
        <w:t>（须加盖投标人电子签章或红色实物</w:t>
      </w:r>
      <w:r>
        <w:rPr>
          <w:rFonts w:hint="eastAsia" w:ascii="宋体" w:hAnsi="宋体" w:eastAsia="宋体" w:cs="宋体"/>
          <w:b/>
          <w:bCs/>
          <w:color w:val="auto"/>
          <w:sz w:val="24"/>
          <w:szCs w:val="24"/>
          <w:highlight w:val="none"/>
        </w:rPr>
        <w:t>公章</w:t>
      </w:r>
      <w:r>
        <w:rPr>
          <w:rFonts w:hint="eastAsia" w:ascii="宋体" w:hAnsi="宋体" w:cs="宋体"/>
          <w:b/>
          <w:bCs/>
          <w:color w:val="auto"/>
          <w:sz w:val="24"/>
          <w:szCs w:val="24"/>
          <w:highlight w:val="none"/>
        </w:rPr>
        <w:t>）</w:t>
      </w:r>
    </w:p>
    <w:p w14:paraId="10FD9A6F">
      <w:pPr>
        <w:snapToGrid w:val="0"/>
        <w:spacing w:line="400" w:lineRule="exact"/>
        <w:ind w:firstLine="482" w:firstLineChars="200"/>
        <w:rPr>
          <w:rFonts w:hint="default"/>
          <w:color w:val="auto"/>
          <w:highlight w:val="none"/>
          <w:lang w:val="en-US" w:eastAsia="zh-CN"/>
        </w:rPr>
      </w:pPr>
      <w:r>
        <w:rPr>
          <w:rFonts w:hint="eastAsia" w:ascii="宋体" w:hAnsi="宋体"/>
          <w:b/>
          <w:bCs/>
          <w:color w:val="auto"/>
          <w:sz w:val="24"/>
          <w:szCs w:val="24"/>
          <w:highlight w:val="none"/>
        </w:rPr>
        <w:t>*</w:t>
      </w:r>
      <w:r>
        <w:rPr>
          <w:rFonts w:hint="eastAsia"/>
          <w:b/>
          <w:bCs/>
          <w:color w:val="auto"/>
          <w:sz w:val="24"/>
          <w:szCs w:val="24"/>
          <w:highlight w:val="none"/>
          <w:lang w:val="en-US" w:eastAsia="zh-CN"/>
        </w:rPr>
        <w:t>5</w:t>
      </w:r>
      <w:r>
        <w:rPr>
          <w:rFonts w:hint="eastAsia" w:ascii="宋体" w:hAnsi="宋体"/>
          <w:b/>
          <w:bCs/>
          <w:color w:val="auto"/>
          <w:sz w:val="24"/>
          <w:szCs w:val="24"/>
          <w:highlight w:val="none"/>
        </w:rPr>
        <w:t>.</w:t>
      </w:r>
      <w:r>
        <w:rPr>
          <w:rFonts w:hint="eastAsia" w:cs="Arial"/>
          <w:color w:val="auto"/>
          <w:sz w:val="24"/>
          <w:szCs w:val="24"/>
          <w:highlight w:val="none"/>
          <w:lang w:val="en-US" w:eastAsia="zh-CN"/>
        </w:rPr>
        <w:t>投标人自2021年1月1日以来（以合同签订日期为准）具有溢油应急物资的业绩。须提供合同扫描件</w:t>
      </w:r>
      <w:r>
        <w:rPr>
          <w:rFonts w:hint="eastAsia" w:ascii="宋体" w:hAnsi="宋体" w:cs="宋体"/>
          <w:b/>
          <w:bCs/>
          <w:color w:val="auto"/>
          <w:sz w:val="24"/>
          <w:szCs w:val="24"/>
          <w:highlight w:val="none"/>
        </w:rPr>
        <w:t>（须加盖投标人电子签章或红色实物</w:t>
      </w:r>
      <w:r>
        <w:rPr>
          <w:rFonts w:hint="eastAsia" w:ascii="宋体" w:hAnsi="宋体" w:eastAsia="宋体" w:cs="宋体"/>
          <w:b/>
          <w:bCs/>
          <w:color w:val="auto"/>
          <w:sz w:val="24"/>
          <w:szCs w:val="24"/>
          <w:highlight w:val="none"/>
        </w:rPr>
        <w:t>公章</w:t>
      </w:r>
      <w:r>
        <w:rPr>
          <w:rFonts w:hint="eastAsia" w:ascii="宋体" w:hAnsi="宋体" w:cs="宋体"/>
          <w:b/>
          <w:bCs/>
          <w:color w:val="auto"/>
          <w:sz w:val="24"/>
          <w:szCs w:val="24"/>
          <w:highlight w:val="none"/>
        </w:rPr>
        <w:t>）</w:t>
      </w:r>
      <w:r>
        <w:rPr>
          <w:rFonts w:hint="eastAsia" w:cs="Arial"/>
          <w:color w:val="auto"/>
          <w:sz w:val="24"/>
          <w:szCs w:val="24"/>
          <w:highlight w:val="none"/>
          <w:lang w:val="en-US" w:eastAsia="zh-CN"/>
        </w:rPr>
        <w:t>。</w:t>
      </w:r>
    </w:p>
    <w:p w14:paraId="3833E4F7">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.投标承诺书、投标人诚信承诺书（格式见附件四）；</w:t>
      </w:r>
      <w:bookmarkStart w:id="1" w:name="_GoBack"/>
      <w:bookmarkEnd w:id="1"/>
    </w:p>
    <w:p w14:paraId="39A50ACA">
      <w:pPr>
        <w:pStyle w:val="2"/>
        <w:spacing w:line="4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.公共资源交易投标信用承诺书加盖公章（格式见附件五）</w:t>
      </w:r>
      <w:r>
        <w:rPr>
          <w:rFonts w:hint="eastAsia" w:ascii="宋体" w:hAnsi="宋体"/>
          <w:color w:val="auto"/>
          <w:sz w:val="24"/>
          <w:szCs w:val="24"/>
          <w:highlight w:val="none"/>
          <w:lang w:eastAsia="zh-CN"/>
        </w:rPr>
        <w:t>；</w:t>
      </w:r>
    </w:p>
    <w:p w14:paraId="6BDC2E38">
      <w:pPr>
        <w:snapToGri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.投标供应商认为有必要提供的其它资料。</w:t>
      </w:r>
    </w:p>
    <w:p w14:paraId="57CC68A2">
      <w:pPr>
        <w:pStyle w:val="2"/>
        <w:spacing w:line="40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B、经济标部分：</w:t>
      </w:r>
    </w:p>
    <w:p w14:paraId="15461B10">
      <w:pPr>
        <w:pStyle w:val="2"/>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*1经济标封面格式（格式见附件</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p>
    <w:p w14:paraId="702E141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w:t>
      </w:r>
      <w:r>
        <w:rPr>
          <w:rFonts w:hint="eastAsia" w:ascii="宋体" w:hAnsi="宋体" w:eastAsia="宋体" w:cs="Times New Roman"/>
          <w:color w:val="auto"/>
          <w:kern w:val="2"/>
          <w:sz w:val="24"/>
          <w:szCs w:val="24"/>
          <w:highlight w:val="none"/>
          <w:lang w:val="en-US" w:eastAsia="zh-CN" w:bidi="ar-SA"/>
        </w:rPr>
        <w:t>投标报价单（格式见附件七）；</w:t>
      </w:r>
    </w:p>
    <w:p w14:paraId="7E8EC23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*3报价函附录（格式见附件八）；</w:t>
      </w:r>
    </w:p>
    <w:p w14:paraId="105D81D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*4技术规格偏离表（格式见附件九）。</w:t>
      </w:r>
    </w:p>
    <w:p w14:paraId="35CA5C65">
      <w:pPr>
        <w:pStyle w:val="2"/>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备</w:t>
      </w:r>
      <w:r>
        <w:rPr>
          <w:rFonts w:hint="eastAsia" w:ascii="宋体" w:hAnsi="宋体"/>
          <w:b/>
          <w:color w:val="auto"/>
          <w:sz w:val="24"/>
          <w:szCs w:val="24"/>
          <w:highlight w:val="none"/>
        </w:rPr>
        <w:t>注：</w:t>
      </w:r>
    </w:p>
    <w:p w14:paraId="0E6CEC85">
      <w:pPr>
        <w:pStyle w:val="2"/>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1、评审</w:t>
      </w:r>
      <w:r>
        <w:rPr>
          <w:rFonts w:hint="eastAsia" w:ascii="宋体" w:hAnsi="宋体"/>
          <w:b/>
          <w:bCs/>
          <w:color w:val="auto"/>
          <w:sz w:val="24"/>
          <w:szCs w:val="24"/>
          <w:highlight w:val="none"/>
        </w:rPr>
        <w:t>过程中若评标委员会</w:t>
      </w:r>
      <w:r>
        <w:rPr>
          <w:rFonts w:hint="eastAsia" w:ascii="宋体" w:hAnsi="宋体"/>
          <w:b/>
          <w:bCs/>
          <w:color w:val="auto"/>
          <w:sz w:val="24"/>
          <w:szCs w:val="24"/>
          <w:highlight w:val="none"/>
          <w:lang w:val="en-US" w:eastAsia="zh-CN"/>
        </w:rPr>
        <w:t>评审电子标</w:t>
      </w:r>
      <w:r>
        <w:rPr>
          <w:rFonts w:hint="eastAsia" w:ascii="宋体" w:hAnsi="宋体"/>
          <w:b/>
          <w:bCs/>
          <w:color w:val="auto"/>
          <w:sz w:val="24"/>
          <w:szCs w:val="24"/>
          <w:highlight w:val="none"/>
        </w:rPr>
        <w:t>后有疑议的，投标人须在评标委员会规定的时间内提供原件供评标委员会核查，若投标人未能在评标委员会规定的时间内提供原件或所提供原件</w:t>
      </w:r>
      <w:r>
        <w:rPr>
          <w:rFonts w:hint="eastAsia" w:ascii="宋体" w:hAnsi="宋体"/>
          <w:b/>
          <w:bCs/>
          <w:color w:val="auto"/>
          <w:sz w:val="24"/>
          <w:szCs w:val="24"/>
          <w:highlight w:val="none"/>
          <w:lang w:eastAsia="zh-CN"/>
        </w:rPr>
        <w:t>经评委会审核不通过</w:t>
      </w:r>
      <w:r>
        <w:rPr>
          <w:rFonts w:hint="eastAsia" w:ascii="宋体" w:hAnsi="宋体"/>
          <w:b/>
          <w:bCs/>
          <w:color w:val="auto"/>
          <w:sz w:val="24"/>
          <w:szCs w:val="24"/>
          <w:highlight w:val="none"/>
        </w:rPr>
        <w:t>的，则废标。</w:t>
      </w:r>
    </w:p>
    <w:p w14:paraId="6AD41DB7">
      <w:pPr>
        <w:pStyle w:val="6"/>
        <w:spacing w:line="400" w:lineRule="exact"/>
        <w:ind w:firstLine="482" w:firstLineChars="200"/>
        <w:rPr>
          <w:rFonts w:hint="eastAsia" w:ascii="宋体" w:hAnsi="宋体"/>
          <w:b/>
          <w:bCs/>
          <w:color w:val="auto"/>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、开标过程中，</w:t>
      </w:r>
      <w:r>
        <w:rPr>
          <w:rFonts w:hint="eastAsia" w:ascii="宋体" w:hAnsi="宋体"/>
          <w:b/>
          <w:bCs/>
          <w:color w:val="auto"/>
          <w:sz w:val="24"/>
          <w:szCs w:val="24"/>
          <w:highlight w:val="none"/>
        </w:rPr>
        <w:t>如投标单位提供的相关证件（身份证、营业执照、</w:t>
      </w:r>
      <w:r>
        <w:rPr>
          <w:rFonts w:hint="eastAsia" w:ascii="宋体" w:hAnsi="宋体"/>
          <w:b/>
          <w:bCs/>
          <w:color w:val="auto"/>
          <w:sz w:val="24"/>
          <w:szCs w:val="24"/>
          <w:highlight w:val="none"/>
          <w:lang w:val="en-US" w:eastAsia="zh-CN"/>
        </w:rPr>
        <w:t>证明材料、社保证明</w:t>
      </w:r>
      <w:r>
        <w:rPr>
          <w:rFonts w:hint="eastAsia" w:ascii="宋体" w:hAnsi="宋体"/>
          <w:b/>
          <w:bCs/>
          <w:color w:val="auto"/>
          <w:sz w:val="24"/>
          <w:szCs w:val="24"/>
          <w:highlight w:val="none"/>
        </w:rPr>
        <w:t>等）为虚假或伪造，一经发现则取消投标或中标资格，招投标行政监督部门将没收其投标保证金，并将其记入不良行为记录，并视情节轻重取消在洋口港经济开发区1-3年的依法必须进行招标项目的投标资格；如开标现场发现投标单位持证（身份证）人与提供身份证不符的，则视为弄虚作假行为，招标投标行政监督部门将没收其投标保证金，并将其记入不良行为记录，并视情节轻重取消在洋口港经济开发区1-3年的依法必须进行招标项目的投标资格。</w:t>
      </w:r>
    </w:p>
    <w:p w14:paraId="07ECB407">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83FF5D5">
      <w:pPr>
        <w:pStyle w:val="6"/>
        <w:spacing w:line="360" w:lineRule="auto"/>
        <w:ind w:firstLine="481" w:firstLineChars="171"/>
        <w:rPr>
          <w:rFonts w:ascii="宋体" w:hAnsi="宋体" w:cs="宋体"/>
          <w:b/>
          <w:bCs/>
          <w:color w:val="auto"/>
          <w:sz w:val="32"/>
          <w:szCs w:val="32"/>
          <w:highlight w:val="none"/>
        </w:rPr>
      </w:pPr>
      <w:r>
        <w:rPr>
          <w:rFonts w:hint="eastAsia" w:ascii="宋体" w:hAnsi="宋体" w:cs="宋体"/>
          <w:b/>
          <w:bCs/>
          <w:color w:val="auto"/>
          <w:sz w:val="28"/>
          <w:szCs w:val="28"/>
          <w:highlight w:val="none"/>
        </w:rPr>
        <w:t>附件一：</w:t>
      </w:r>
    </w:p>
    <w:p w14:paraId="20E06BDA">
      <w:pPr>
        <w:pStyle w:val="6"/>
        <w:spacing w:line="360" w:lineRule="auto"/>
        <w:ind w:firstLine="6274" w:firstLineChars="1953"/>
        <w:rPr>
          <w:rFonts w:ascii="宋体" w:hAnsi="宋体" w:cs="宋体"/>
          <w:b/>
          <w:bCs/>
          <w:color w:val="auto"/>
          <w:sz w:val="28"/>
          <w:szCs w:val="28"/>
          <w:highlight w:val="none"/>
        </w:rPr>
      </w:pPr>
      <w:r>
        <w:rPr>
          <w:rFonts w:hint="eastAsia" w:ascii="宋体" w:hAnsi="宋体" w:cs="宋体"/>
          <w:b/>
          <w:bCs/>
          <w:color w:val="auto"/>
          <w:sz w:val="32"/>
          <w:szCs w:val="32"/>
          <w:highlight w:val="none"/>
        </w:rPr>
        <w:t>（正本/副本）</w:t>
      </w:r>
    </w:p>
    <w:p w14:paraId="33A60A8D">
      <w:pPr>
        <w:pStyle w:val="6"/>
        <w:spacing w:line="360" w:lineRule="auto"/>
        <w:ind w:firstLine="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1ED35E89">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p>
    <w:p w14:paraId="679A9365">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p>
    <w:p w14:paraId="30493935">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如东县阳光岛应急仓库应急物资采购项目</w:t>
      </w:r>
    </w:p>
    <w:p w14:paraId="283F9EFF">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p>
    <w:p w14:paraId="2CD571B6">
      <w:pPr>
        <w:pStyle w:val="2"/>
        <w:rPr>
          <w:rFonts w:hint="eastAsia"/>
          <w:color w:val="auto"/>
          <w:highlight w:val="none"/>
          <w:lang w:eastAsia="zh-CN"/>
        </w:rPr>
      </w:pPr>
    </w:p>
    <w:p w14:paraId="144A1172">
      <w:pPr>
        <w:adjustRightInd w:val="0"/>
        <w:spacing w:line="360" w:lineRule="auto"/>
        <w:ind w:firstLine="482"/>
        <w:jc w:val="center"/>
        <w:textAlignment w:val="baseline"/>
        <w:rPr>
          <w:rFonts w:ascii="宋体" w:hAnsi="宋体" w:cs="宋体"/>
          <w:color w:val="auto"/>
          <w:kern w:val="0"/>
          <w:sz w:val="28"/>
          <w:szCs w:val="28"/>
          <w:highlight w:val="none"/>
        </w:rPr>
      </w:pPr>
    </w:p>
    <w:p w14:paraId="038E48A8">
      <w:pPr>
        <w:adjustRightInd w:val="0"/>
        <w:spacing w:line="360" w:lineRule="auto"/>
        <w:ind w:firstLine="482"/>
        <w:jc w:val="center"/>
        <w:textAlignment w:val="baseline"/>
        <w:rPr>
          <w:rFonts w:ascii="宋体" w:hAnsi="宋体" w:cs="宋体"/>
          <w:color w:val="auto"/>
          <w:kern w:val="0"/>
          <w:sz w:val="28"/>
          <w:szCs w:val="28"/>
          <w:highlight w:val="none"/>
        </w:rPr>
      </w:pPr>
    </w:p>
    <w:p w14:paraId="65351F02">
      <w:pPr>
        <w:pStyle w:val="2"/>
        <w:rPr>
          <w:color w:val="auto"/>
          <w:highlight w:val="none"/>
        </w:rPr>
      </w:pPr>
    </w:p>
    <w:p w14:paraId="4F618D72">
      <w:pPr>
        <w:pStyle w:val="2"/>
        <w:rPr>
          <w:color w:val="auto"/>
          <w:highlight w:val="none"/>
        </w:rPr>
      </w:pPr>
    </w:p>
    <w:p w14:paraId="4D044A18">
      <w:pPr>
        <w:adjustRightInd w:val="0"/>
        <w:spacing w:line="360" w:lineRule="auto"/>
        <w:ind w:firstLine="482"/>
        <w:jc w:val="center"/>
        <w:textAlignment w:val="baseline"/>
        <w:rPr>
          <w:rFonts w:hint="eastAsia" w:ascii="宋体" w:hAnsi="宋体" w:eastAsia="宋体" w:cs="宋体"/>
          <w:b/>
          <w:bCs/>
          <w:color w:val="auto"/>
          <w:spacing w:val="60"/>
          <w:kern w:val="0"/>
          <w:sz w:val="48"/>
          <w:szCs w:val="48"/>
          <w:highlight w:val="none"/>
          <w:lang w:eastAsia="zh-CN"/>
        </w:rPr>
      </w:pPr>
      <w:r>
        <w:rPr>
          <w:rFonts w:hint="eastAsia" w:ascii="宋体" w:hAnsi="宋体" w:cs="宋体"/>
          <w:b/>
          <w:bCs/>
          <w:color w:val="auto"/>
          <w:spacing w:val="60"/>
          <w:kern w:val="0"/>
          <w:sz w:val="48"/>
          <w:szCs w:val="48"/>
          <w:highlight w:val="none"/>
          <w:lang w:eastAsia="zh-CN"/>
        </w:rPr>
        <w:t>资审文件</w:t>
      </w:r>
    </w:p>
    <w:p w14:paraId="0D3F2E9F">
      <w:pPr>
        <w:adjustRightInd w:val="0"/>
        <w:spacing w:line="360" w:lineRule="auto"/>
        <w:ind w:firstLine="482"/>
        <w:jc w:val="center"/>
        <w:textAlignment w:val="baseline"/>
        <w:rPr>
          <w:rFonts w:ascii="宋体" w:hAnsi="宋体" w:cs="宋体"/>
          <w:color w:val="auto"/>
          <w:kern w:val="0"/>
          <w:sz w:val="32"/>
          <w:szCs w:val="32"/>
          <w:highlight w:val="none"/>
        </w:rPr>
      </w:pPr>
    </w:p>
    <w:p w14:paraId="5AAF0CFA">
      <w:pPr>
        <w:adjustRightInd w:val="0"/>
        <w:spacing w:line="360" w:lineRule="auto"/>
        <w:ind w:firstLine="482"/>
        <w:jc w:val="center"/>
        <w:textAlignment w:val="baseline"/>
        <w:rPr>
          <w:rFonts w:ascii="宋体" w:hAnsi="宋体" w:cs="宋体"/>
          <w:color w:val="auto"/>
          <w:kern w:val="0"/>
          <w:sz w:val="28"/>
          <w:szCs w:val="28"/>
          <w:highlight w:val="none"/>
        </w:rPr>
      </w:pPr>
    </w:p>
    <w:p w14:paraId="0AED95F4">
      <w:pPr>
        <w:adjustRightInd w:val="0"/>
        <w:spacing w:line="360" w:lineRule="auto"/>
        <w:ind w:firstLine="482"/>
        <w:jc w:val="center"/>
        <w:textAlignment w:val="baseline"/>
        <w:rPr>
          <w:rFonts w:ascii="宋体" w:hAnsi="宋体" w:cs="宋体"/>
          <w:color w:val="auto"/>
          <w:kern w:val="0"/>
          <w:sz w:val="28"/>
          <w:szCs w:val="28"/>
          <w:highlight w:val="none"/>
        </w:rPr>
      </w:pPr>
    </w:p>
    <w:p w14:paraId="344EF0C0">
      <w:pPr>
        <w:adjustRightInd w:val="0"/>
        <w:spacing w:line="360" w:lineRule="auto"/>
        <w:textAlignment w:val="baseline"/>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投标人(盖章)：</w:t>
      </w:r>
      <w:r>
        <w:rPr>
          <w:rFonts w:hint="eastAsia" w:ascii="宋体" w:hAnsi="宋体" w:cs="宋体"/>
          <w:color w:val="auto"/>
          <w:kern w:val="0"/>
          <w:sz w:val="28"/>
          <w:szCs w:val="28"/>
          <w:highlight w:val="none"/>
          <w:u w:val="single"/>
        </w:rPr>
        <w:t xml:space="preserve">                                 </w:t>
      </w:r>
    </w:p>
    <w:p w14:paraId="106AF524">
      <w:pPr>
        <w:adjustRightInd w:val="0"/>
        <w:spacing w:line="360" w:lineRule="auto"/>
        <w:ind w:firstLine="448" w:firstLineChars="160"/>
        <w:textAlignment w:val="baseline"/>
        <w:rPr>
          <w:rFonts w:ascii="宋体" w:hAnsi="宋体" w:cs="宋体"/>
          <w:color w:val="auto"/>
          <w:kern w:val="0"/>
          <w:sz w:val="28"/>
          <w:szCs w:val="28"/>
          <w:highlight w:val="none"/>
        </w:rPr>
      </w:pPr>
    </w:p>
    <w:p w14:paraId="16ED7E19">
      <w:pPr>
        <w:adjustRightInd w:val="0"/>
        <w:spacing w:line="360" w:lineRule="auto"/>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 (签字或盖章)：</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14:paraId="43D17865">
      <w:pPr>
        <w:adjustRightInd w:val="0"/>
        <w:spacing w:line="360" w:lineRule="auto"/>
        <w:ind w:firstLine="448" w:firstLineChars="160"/>
        <w:textAlignment w:val="baseline"/>
        <w:rPr>
          <w:rFonts w:ascii="宋体" w:hAnsi="宋体" w:cs="宋体"/>
          <w:color w:val="auto"/>
          <w:kern w:val="0"/>
          <w:sz w:val="28"/>
          <w:szCs w:val="28"/>
          <w:highlight w:val="none"/>
        </w:rPr>
      </w:pPr>
    </w:p>
    <w:p w14:paraId="35DC4432">
      <w:pPr>
        <w:adjustRightInd w:val="0"/>
        <w:spacing w:line="360" w:lineRule="auto"/>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   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77AE8786">
      <w:pPr>
        <w:widowControl/>
        <w:spacing w:before="100" w:beforeAutospacing="1" w:after="100" w:afterAutospacing="1"/>
        <w:jc w:val="left"/>
        <w:rPr>
          <w:rFonts w:ascii="宋体" w:hAnsi="宋体" w:cs="宋体"/>
          <w:b/>
          <w:color w:val="auto"/>
          <w:sz w:val="28"/>
          <w:szCs w:val="28"/>
          <w:highlight w:val="none"/>
        </w:rPr>
      </w:pPr>
    </w:p>
    <w:p w14:paraId="332C7D58">
      <w:pPr>
        <w:widowControl/>
        <w:spacing w:before="100" w:beforeAutospacing="1" w:after="100" w:afterAutospacing="1"/>
        <w:jc w:val="left"/>
        <w:rPr>
          <w:rFonts w:ascii="宋体" w:hAnsi="宋体" w:cs="宋体"/>
          <w:b/>
          <w:color w:val="auto"/>
          <w:sz w:val="28"/>
          <w:szCs w:val="28"/>
          <w:highlight w:val="none"/>
        </w:rPr>
      </w:pPr>
    </w:p>
    <w:p w14:paraId="08F00851">
      <w:pPr>
        <w:widowControl/>
        <w:spacing w:before="100" w:beforeAutospacing="1" w:after="100" w:afterAutospacing="1"/>
        <w:jc w:val="left"/>
        <w:rPr>
          <w:rFonts w:ascii="宋体" w:hAnsi="宋体" w:cs="宋体"/>
          <w:b/>
          <w:color w:val="auto"/>
          <w:sz w:val="28"/>
          <w:szCs w:val="28"/>
          <w:highlight w:val="none"/>
        </w:rPr>
      </w:pPr>
    </w:p>
    <w:p w14:paraId="3C746375">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387C34A">
      <w:pPr>
        <w:widowControl/>
        <w:spacing w:before="100" w:beforeAutospacing="1" w:after="100" w:afterAutospacing="1"/>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附件二：            </w:t>
      </w:r>
    </w:p>
    <w:p w14:paraId="5C5A41C3">
      <w:pPr>
        <w:pStyle w:val="33"/>
        <w:spacing w:after="0" w:line="420" w:lineRule="atLeast"/>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法定代表人身份证明书</w:t>
      </w:r>
    </w:p>
    <w:p w14:paraId="4EAB8DF5">
      <w:pPr>
        <w:pStyle w:val="6"/>
        <w:spacing w:line="420" w:lineRule="atLeast"/>
        <w:ind w:firstLine="0"/>
        <w:jc w:val="center"/>
        <w:rPr>
          <w:rFonts w:ascii="宋体" w:hAnsi="宋体" w:cs="宋体"/>
          <w:color w:val="auto"/>
          <w:sz w:val="28"/>
          <w:szCs w:val="28"/>
          <w:highlight w:val="none"/>
        </w:rPr>
      </w:pPr>
    </w:p>
    <w:p w14:paraId="31358169">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14:paraId="3C5AEB10">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p>
    <w:p w14:paraId="3342D97F">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14:paraId="13C6FF70">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5D04FB2E">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14:paraId="784F38EF">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p>
    <w:p w14:paraId="76E42753">
      <w:pPr>
        <w:pStyle w:val="6"/>
        <w:spacing w:line="480" w:lineRule="auto"/>
        <w:ind w:firstLine="480" w:firstLineChars="200"/>
        <w:rPr>
          <w:rFonts w:ascii="宋体" w:hAnsi="宋体" w:cs="宋体"/>
          <w:color w:val="auto"/>
          <w:highlight w:val="none"/>
          <w:u w:val="singl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系：</w:t>
      </w:r>
      <w:r>
        <w:rPr>
          <w:rFonts w:hint="eastAsia" w:ascii="宋体" w:hAnsi="宋体" w:cs="宋体"/>
          <w:color w:val="auto"/>
          <w:highlight w:val="none"/>
          <w:u w:val="single"/>
        </w:rPr>
        <w:t xml:space="preserve">     (投标单位名称)           </w:t>
      </w:r>
    </w:p>
    <w:p w14:paraId="3D458019">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highlight w:val="none"/>
          <w:u w:val="single"/>
        </w:rPr>
        <w:t>法定代表人</w:t>
      </w:r>
      <w:r>
        <w:rPr>
          <w:rFonts w:hint="eastAsia" w:ascii="宋体" w:hAnsi="宋体" w:cs="宋体"/>
          <w:color w:val="auto"/>
          <w:highlight w:val="none"/>
        </w:rPr>
        <w:t>。</w:t>
      </w:r>
    </w:p>
    <w:p w14:paraId="254643CE">
      <w:pPr>
        <w:pStyle w:val="6"/>
        <w:spacing w:line="480" w:lineRule="auto"/>
        <w:ind w:firstLine="480" w:firstLineChars="200"/>
        <w:rPr>
          <w:rFonts w:ascii="宋体" w:hAnsi="宋体" w:cs="宋体"/>
          <w:color w:val="auto"/>
          <w:highlight w:val="none"/>
        </w:rPr>
      </w:pPr>
    </w:p>
    <w:p w14:paraId="28144FA3">
      <w:pPr>
        <w:pStyle w:val="6"/>
        <w:spacing w:line="480" w:lineRule="auto"/>
        <w:ind w:firstLine="480" w:firstLineChars="200"/>
        <w:rPr>
          <w:rFonts w:ascii="宋体" w:hAnsi="宋体" w:cs="宋体"/>
          <w:color w:val="auto"/>
          <w:highlight w:val="none"/>
        </w:rPr>
      </w:pPr>
      <w:r>
        <w:rPr>
          <w:rFonts w:hint="eastAsia" w:ascii="宋体" w:hAnsi="宋体" w:cs="宋体"/>
          <w:color w:val="auto"/>
          <w:highlight w:val="none"/>
        </w:rPr>
        <w:t>特此证明</w:t>
      </w:r>
    </w:p>
    <w:p w14:paraId="32EB707C">
      <w:pPr>
        <w:pStyle w:val="6"/>
        <w:spacing w:line="480" w:lineRule="auto"/>
        <w:ind w:firstLine="3840" w:firstLineChars="1600"/>
        <w:rPr>
          <w:rFonts w:ascii="宋体" w:hAnsi="宋体" w:cs="宋体"/>
          <w:color w:val="auto"/>
          <w:highlight w:val="none"/>
        </w:rPr>
      </w:pPr>
      <w:r>
        <w:rPr>
          <w:rFonts w:hint="eastAsia" w:ascii="宋体" w:hAnsi="宋体" w:cs="宋体"/>
          <w:color w:val="auto"/>
          <w:highlight w:val="none"/>
        </w:rPr>
        <w:t>投标单位(加盖公章)：</w:t>
      </w:r>
      <w:r>
        <w:rPr>
          <w:rFonts w:hint="eastAsia" w:ascii="宋体" w:hAnsi="宋体" w:cs="宋体"/>
          <w:color w:val="auto"/>
          <w:highlight w:val="none"/>
          <w:u w:val="single"/>
        </w:rPr>
        <w:t xml:space="preserve">                </w:t>
      </w:r>
    </w:p>
    <w:p w14:paraId="21122763">
      <w:pPr>
        <w:pStyle w:val="6"/>
        <w:spacing w:line="480" w:lineRule="auto"/>
        <w:ind w:firstLine="3840" w:firstLineChars="1600"/>
        <w:rPr>
          <w:rFonts w:ascii="宋体" w:hAnsi="宋体" w:cs="宋体"/>
          <w:color w:val="auto"/>
          <w:highlight w:val="none"/>
        </w:rPr>
      </w:pPr>
    </w:p>
    <w:p w14:paraId="59F78755">
      <w:pPr>
        <w:pStyle w:val="6"/>
        <w:spacing w:line="480" w:lineRule="auto"/>
        <w:ind w:firstLine="3840" w:firstLineChars="1600"/>
        <w:rPr>
          <w:rFonts w:ascii="宋体" w:hAnsi="宋体" w:cs="宋体"/>
          <w:b/>
          <w:bCs/>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61488239">
      <w:pPr>
        <w:pStyle w:val="16"/>
        <w:spacing w:line="225" w:lineRule="atLeast"/>
        <w:jc w:val="both"/>
        <w:rPr>
          <w:b/>
          <w:bCs/>
          <w:color w:val="auto"/>
          <w:szCs w:val="24"/>
          <w:highlight w:val="none"/>
        </w:rPr>
      </w:pPr>
      <w:r>
        <w:rPr>
          <w:rFonts w:hint="eastAsia"/>
          <w:b/>
          <w:bCs/>
          <w:color w:val="auto"/>
          <w:szCs w:val="24"/>
          <w:highlight w:val="none"/>
        </w:rPr>
        <w:t>附法定代表人身份证复印件：</w:t>
      </w:r>
    </w:p>
    <w:p w14:paraId="733607A7">
      <w:pPr>
        <w:pStyle w:val="16"/>
        <w:spacing w:line="225" w:lineRule="atLeast"/>
        <w:jc w:val="both"/>
        <w:rPr>
          <w:b/>
          <w:bCs/>
          <w:color w:val="auto"/>
          <w:sz w:val="28"/>
          <w:szCs w:val="28"/>
          <w:highlight w:val="none"/>
        </w:rPr>
      </w:pPr>
    </w:p>
    <w:p w14:paraId="62470D86">
      <w:pPr>
        <w:pStyle w:val="16"/>
        <w:spacing w:line="225" w:lineRule="atLeast"/>
        <w:jc w:val="both"/>
        <w:rPr>
          <w:b/>
          <w:bCs/>
          <w:color w:val="auto"/>
          <w:sz w:val="28"/>
          <w:szCs w:val="28"/>
          <w:highlight w:val="none"/>
        </w:rPr>
      </w:pPr>
    </w:p>
    <w:p w14:paraId="179368FD">
      <w:pPr>
        <w:rPr>
          <w:b/>
          <w:bCs/>
          <w:color w:val="auto"/>
          <w:sz w:val="28"/>
          <w:szCs w:val="28"/>
          <w:highlight w:val="none"/>
        </w:rPr>
      </w:pPr>
      <w:r>
        <w:rPr>
          <w:rFonts w:hint="eastAsia"/>
          <w:b/>
          <w:bCs/>
          <w:color w:val="auto"/>
          <w:sz w:val="28"/>
          <w:szCs w:val="28"/>
          <w:highlight w:val="none"/>
        </w:rPr>
        <w:br w:type="page"/>
      </w:r>
    </w:p>
    <w:p w14:paraId="75F1F29E">
      <w:pPr>
        <w:pStyle w:val="16"/>
        <w:spacing w:line="225" w:lineRule="atLeast"/>
        <w:jc w:val="both"/>
        <w:rPr>
          <w:b/>
          <w:bCs/>
          <w:color w:val="auto"/>
          <w:sz w:val="28"/>
          <w:szCs w:val="28"/>
          <w:highlight w:val="none"/>
        </w:rPr>
      </w:pPr>
      <w:r>
        <w:rPr>
          <w:rFonts w:hint="eastAsia"/>
          <w:b/>
          <w:bCs/>
          <w:color w:val="auto"/>
          <w:sz w:val="28"/>
          <w:szCs w:val="28"/>
          <w:highlight w:val="none"/>
        </w:rPr>
        <w:t>附件三：</w:t>
      </w:r>
    </w:p>
    <w:p w14:paraId="5CF73C1E">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 定 代 表 人 授 权 委 托 书</w:t>
      </w:r>
    </w:p>
    <w:p w14:paraId="6A53C1D8">
      <w:pPr>
        <w:spacing w:line="500" w:lineRule="exact"/>
        <w:ind w:firstLine="560" w:firstLineChars="200"/>
        <w:rPr>
          <w:rFonts w:ascii="宋体" w:hAnsi="宋体" w:cs="宋体"/>
          <w:color w:val="auto"/>
          <w:sz w:val="28"/>
          <w:szCs w:val="28"/>
          <w:highlight w:val="none"/>
        </w:rPr>
      </w:pPr>
    </w:p>
    <w:p w14:paraId="19024856">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江苏洋口港港务有限公司</w:t>
      </w:r>
      <w:r>
        <w:rPr>
          <w:rFonts w:hint="eastAsia" w:ascii="宋体" w:hAnsi="宋体" w:cs="宋体"/>
          <w:color w:val="auto"/>
          <w:sz w:val="24"/>
          <w:szCs w:val="24"/>
          <w:highlight w:val="none"/>
        </w:rPr>
        <w:t>：</w:t>
      </w:r>
    </w:p>
    <w:p w14:paraId="53C46486">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本授权书声明：</w:t>
      </w:r>
    </w:p>
    <w:p w14:paraId="22EC6AEF">
      <w:pPr>
        <w:spacing w:line="400" w:lineRule="exact"/>
        <w:rPr>
          <w:rFonts w:ascii="宋体" w:hAnsi="宋体" w:cs="宋体"/>
          <w:b/>
          <w:color w:val="auto"/>
          <w:spacing w:val="20"/>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（投标人全称）                       </w:t>
      </w:r>
      <w:r>
        <w:rPr>
          <w:rFonts w:hint="eastAsia" w:ascii="宋体" w:hAnsi="宋体" w:cs="宋体"/>
          <w:color w:val="auto"/>
          <w:sz w:val="24"/>
          <w:szCs w:val="24"/>
          <w:highlight w:val="none"/>
        </w:rPr>
        <w:t>的法定代表人，现授权</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为我公司的授权委托人，以我公司的名义参加</w:t>
      </w:r>
      <w:r>
        <w:rPr>
          <w:rFonts w:hint="eastAsia" w:ascii="宋体" w:hAnsi="宋体" w:cs="Times New Roman"/>
          <w:color w:val="auto"/>
          <w:sz w:val="24"/>
          <w:szCs w:val="24"/>
          <w:highlight w:val="none"/>
          <w:u w:val="single"/>
          <w:lang w:val="en-US" w:eastAsia="zh-CN"/>
        </w:rPr>
        <w:t>如东县阳光岛应急仓库应急物资采购项目</w:t>
      </w:r>
      <w:r>
        <w:rPr>
          <w:rFonts w:hint="eastAsia" w:ascii="宋体" w:hAnsi="宋体" w:cs="宋体"/>
          <w:color w:val="auto"/>
          <w:sz w:val="24"/>
          <w:szCs w:val="24"/>
          <w:highlight w:val="none"/>
          <w:u w:val="none"/>
          <w:lang w:eastAsia="zh-CN"/>
        </w:rPr>
        <w:t>的投标，全权代表我</w:t>
      </w:r>
      <w:r>
        <w:rPr>
          <w:rFonts w:hint="eastAsia" w:ascii="宋体" w:hAnsi="宋体" w:cs="宋体"/>
          <w:color w:val="auto"/>
          <w:sz w:val="24"/>
          <w:szCs w:val="24"/>
          <w:highlight w:val="none"/>
        </w:rPr>
        <w:t>单位处理本次招投标的一切事宜。</w:t>
      </w:r>
    </w:p>
    <w:p w14:paraId="5006DAA5">
      <w:pPr>
        <w:spacing w:line="5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授权委托人在本项目采购过程中所签署的一切文件、承诺和处理与之有关的一切事务，我均予以承认。</w:t>
      </w:r>
    </w:p>
    <w:p w14:paraId="15BA9F3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授权委托人无转委权。</w:t>
      </w:r>
    </w:p>
    <w:p w14:paraId="01DD9CB4">
      <w:pPr>
        <w:spacing w:line="540" w:lineRule="exact"/>
        <w:rPr>
          <w:rFonts w:ascii="宋体" w:hAnsi="宋体" w:cs="宋体"/>
          <w:color w:val="auto"/>
          <w:sz w:val="24"/>
          <w:szCs w:val="24"/>
          <w:highlight w:val="none"/>
        </w:rPr>
      </w:pPr>
    </w:p>
    <w:p w14:paraId="0C775262">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授权委托人情况：</w:t>
      </w:r>
    </w:p>
    <w:p w14:paraId="5CAFC0B4">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姓名：                             职务：</w:t>
      </w:r>
    </w:p>
    <w:p w14:paraId="7CEB36DA">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身份证号码：</w:t>
      </w:r>
    </w:p>
    <w:p w14:paraId="1470AD2E">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联系电话：                         传真：</w:t>
      </w:r>
    </w:p>
    <w:p w14:paraId="43878536">
      <w:pPr>
        <w:spacing w:line="600" w:lineRule="exact"/>
        <w:rPr>
          <w:rFonts w:ascii="宋体" w:hAnsi="宋体" w:cs="宋体"/>
          <w:color w:val="auto"/>
          <w:sz w:val="24"/>
          <w:szCs w:val="24"/>
          <w:highlight w:val="none"/>
        </w:rPr>
      </w:pPr>
    </w:p>
    <w:p w14:paraId="7C3D8B98">
      <w:pPr>
        <w:spacing w:line="600" w:lineRule="exact"/>
        <w:rPr>
          <w:rFonts w:ascii="宋体" w:hAnsi="宋体" w:cs="宋体"/>
          <w:color w:val="auto"/>
          <w:sz w:val="24"/>
          <w:szCs w:val="24"/>
          <w:highlight w:val="none"/>
        </w:rPr>
      </w:pPr>
    </w:p>
    <w:p w14:paraId="64DBC4D1">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单位名称（加盖公章）：</w:t>
      </w:r>
      <w:r>
        <w:rPr>
          <w:rFonts w:hint="eastAsia" w:ascii="宋体" w:hAnsi="宋体" w:cs="宋体"/>
          <w:color w:val="auto"/>
          <w:sz w:val="24"/>
          <w:szCs w:val="24"/>
          <w:highlight w:val="none"/>
          <w:u w:val="single"/>
        </w:rPr>
        <w:t xml:space="preserve">                             </w:t>
      </w:r>
    </w:p>
    <w:p w14:paraId="0207CA41">
      <w:pPr>
        <w:spacing w:line="6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14:paraId="5E60816F">
      <w:pPr>
        <w:spacing w:line="6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240ABFAD">
      <w:pPr>
        <w:rPr>
          <w:rFonts w:ascii="宋体" w:hAnsi="宋体" w:cs="宋体"/>
          <w:b/>
          <w:color w:val="auto"/>
          <w:sz w:val="24"/>
          <w:szCs w:val="24"/>
          <w:highlight w:val="none"/>
        </w:rPr>
      </w:pPr>
    </w:p>
    <w:p w14:paraId="138C2670">
      <w:pPr>
        <w:rPr>
          <w:rFonts w:ascii="宋体" w:hAnsi="宋体" w:cs="宋体"/>
          <w:b/>
          <w:color w:val="auto"/>
          <w:sz w:val="24"/>
          <w:szCs w:val="24"/>
          <w:highlight w:val="none"/>
        </w:rPr>
      </w:pPr>
      <w:r>
        <w:rPr>
          <w:rFonts w:hint="eastAsia" w:ascii="宋体" w:hAnsi="宋体" w:cs="宋体"/>
          <w:b/>
          <w:color w:val="auto"/>
          <w:sz w:val="24"/>
          <w:szCs w:val="24"/>
          <w:highlight w:val="none"/>
        </w:rPr>
        <w:t>附授权委托人（即代理人）身份证复印件</w:t>
      </w:r>
    </w:p>
    <w:p w14:paraId="7009CA71">
      <w:pPr>
        <w:rPr>
          <w:rFonts w:hint="eastAsia" w:ascii="宋体" w:hAnsi="宋体" w:cs="宋体"/>
          <w:b/>
          <w:bCs/>
          <w:color w:val="auto"/>
          <w:kern w:val="0"/>
          <w:sz w:val="28"/>
          <w:szCs w:val="28"/>
          <w:highlight w:val="none"/>
        </w:rPr>
      </w:pPr>
      <w:r>
        <w:rPr>
          <w:rFonts w:hint="eastAsia"/>
          <w:b/>
          <w:bCs/>
          <w:color w:val="auto"/>
          <w:sz w:val="28"/>
          <w:szCs w:val="28"/>
          <w:highlight w:val="none"/>
        </w:rPr>
        <w:br w:type="page"/>
      </w:r>
    </w:p>
    <w:p w14:paraId="14081E2F">
      <w:pPr>
        <w:widowControl/>
        <w:spacing w:before="100" w:beforeAutospacing="1" w:after="100" w:afterAutospacing="1"/>
        <w:jc w:val="left"/>
        <w:rPr>
          <w:rFonts w:ascii="宋体" w:hAnsi="宋体" w:cs="宋体"/>
          <w:b/>
          <w:bCs/>
          <w:color w:val="auto"/>
          <w:kern w:val="0"/>
          <w:sz w:val="24"/>
          <w:szCs w:val="24"/>
          <w:highlight w:val="none"/>
        </w:rPr>
      </w:pPr>
      <w:r>
        <w:rPr>
          <w:rFonts w:hint="eastAsia" w:ascii="宋体" w:hAnsi="宋体" w:cs="宋体"/>
          <w:b/>
          <w:bCs/>
          <w:color w:val="auto"/>
          <w:kern w:val="0"/>
          <w:sz w:val="28"/>
          <w:szCs w:val="28"/>
          <w:highlight w:val="none"/>
        </w:rPr>
        <w:t>附件四：</w:t>
      </w:r>
    </w:p>
    <w:p w14:paraId="73569708">
      <w:pPr>
        <w:pStyle w:val="16"/>
        <w:spacing w:line="360" w:lineRule="auto"/>
        <w:jc w:val="center"/>
        <w:rPr>
          <w:color w:val="auto"/>
          <w:sz w:val="32"/>
          <w:szCs w:val="32"/>
          <w:highlight w:val="none"/>
        </w:rPr>
      </w:pPr>
      <w:r>
        <w:rPr>
          <w:rFonts w:hint="eastAsia"/>
          <w:b/>
          <w:bCs/>
          <w:color w:val="auto"/>
          <w:sz w:val="32"/>
          <w:szCs w:val="32"/>
          <w:highlight w:val="none"/>
        </w:rPr>
        <w:t>投标承诺书</w:t>
      </w:r>
    </w:p>
    <w:p w14:paraId="26B6EDDD">
      <w:pPr>
        <w:pStyle w:val="16"/>
        <w:spacing w:before="0" w:beforeAutospacing="0" w:after="0" w:afterAutospacing="0" w:line="360" w:lineRule="auto"/>
        <w:jc w:val="both"/>
        <w:rPr>
          <w:b/>
          <w:bCs/>
          <w:color w:val="auto"/>
          <w:szCs w:val="24"/>
          <w:highlight w:val="none"/>
          <w:u w:val="single"/>
        </w:rPr>
      </w:pPr>
      <w:r>
        <w:rPr>
          <w:rFonts w:hint="eastAsia" w:cs="宋体"/>
          <w:b/>
          <w:bCs/>
          <w:color w:val="auto"/>
          <w:sz w:val="24"/>
          <w:szCs w:val="24"/>
          <w:highlight w:val="none"/>
          <w:u w:val="single"/>
          <w:lang w:eastAsia="zh-CN"/>
        </w:rPr>
        <w:t>江苏洋口港港务有限公司：</w:t>
      </w:r>
    </w:p>
    <w:p w14:paraId="32565285">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 xml:space="preserve"> 1.</w:t>
      </w:r>
      <w:r>
        <w:rPr>
          <w:rFonts w:hint="eastAsia"/>
          <w:color w:val="auto"/>
          <w:szCs w:val="24"/>
          <w:highlight w:val="none"/>
        </w:rPr>
        <w:t>根据已收到的</w:t>
      </w:r>
      <w:r>
        <w:rPr>
          <w:rFonts w:hint="eastAsia"/>
          <w:b/>
          <w:bCs/>
          <w:color w:val="auto"/>
          <w:szCs w:val="24"/>
          <w:highlight w:val="none"/>
          <w:u w:val="single"/>
          <w:lang w:val="en-US" w:eastAsia="zh-CN"/>
        </w:rPr>
        <w:t>如东县阳光岛应急仓库应急物资采购项目</w:t>
      </w:r>
      <w:r>
        <w:rPr>
          <w:rFonts w:hint="eastAsia"/>
          <w:color w:val="auto"/>
          <w:szCs w:val="24"/>
          <w:highlight w:val="none"/>
        </w:rPr>
        <w:t>的招标文件，我单位将遵照《中华人民共和国招标投标法》等有关规定并根据招标文件的规定，经考察现场和研究招标文件后，愿按招标文件的要求承包本次招标范围内的全部内容。</w:t>
      </w:r>
    </w:p>
    <w:p w14:paraId="255C5F4F">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2. 如我方中标，我方保证在招标文件规定的时间节点内</w:t>
      </w:r>
      <w:r>
        <w:rPr>
          <w:rFonts w:hint="eastAsia"/>
          <w:color w:val="auto"/>
          <w:szCs w:val="24"/>
          <w:highlight w:val="none"/>
          <w:lang w:val="en-US" w:eastAsia="zh-CN"/>
        </w:rPr>
        <w:t>完成培训</w:t>
      </w:r>
      <w:r>
        <w:rPr>
          <w:rFonts w:hint="eastAsia"/>
          <w:color w:val="auto"/>
          <w:szCs w:val="24"/>
          <w:highlight w:val="none"/>
        </w:rPr>
        <w:t>。</w:t>
      </w:r>
    </w:p>
    <w:p w14:paraId="47392BF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我方已详细审核全部招标文件，包括修改文件、答疑（如有时）及有关附件，我方完全响应并认可上述文件的所有条款。</w:t>
      </w:r>
    </w:p>
    <w:p w14:paraId="6F97F587">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4. 我方承认投标函附件是我方投标函的组成部分。</w:t>
      </w:r>
    </w:p>
    <w:p w14:paraId="74D77B83">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5. 一旦我方中标，我方保证在你方招标文件中规定的期限内完成本项目全部内容，质量：</w:t>
      </w:r>
      <w:r>
        <w:rPr>
          <w:rFonts w:hint="eastAsia"/>
          <w:color w:val="auto"/>
          <w:szCs w:val="24"/>
          <w:highlight w:val="none"/>
          <w:u w:val="single"/>
        </w:rPr>
        <w:t>合格</w:t>
      </w:r>
      <w:r>
        <w:rPr>
          <w:rFonts w:hint="eastAsia"/>
          <w:color w:val="auto"/>
          <w:szCs w:val="24"/>
          <w:highlight w:val="none"/>
          <w:u w:val="none"/>
        </w:rPr>
        <w:t>。</w:t>
      </w:r>
    </w:p>
    <w:p w14:paraId="611DDD61">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6. 中标后在签订合同前，我方愿</w:t>
      </w:r>
      <w:r>
        <w:rPr>
          <w:rFonts w:hint="eastAsia"/>
          <w:color w:val="auto"/>
          <w:szCs w:val="24"/>
          <w:highlight w:val="none"/>
          <w:lang w:val="en-US" w:eastAsia="zh-CN"/>
        </w:rPr>
        <w:t>缴纳成交价的</w:t>
      </w:r>
      <w:r>
        <w:rPr>
          <w:rFonts w:hint="eastAsia"/>
          <w:color w:val="auto"/>
          <w:szCs w:val="24"/>
          <w:highlight w:val="none"/>
          <w:u w:val="single"/>
          <w:lang w:val="en-US" w:eastAsia="zh-CN"/>
        </w:rPr>
        <w:t xml:space="preserve"> 3 </w:t>
      </w:r>
      <w:r>
        <w:rPr>
          <w:rFonts w:hint="eastAsia"/>
          <w:color w:val="auto"/>
          <w:szCs w:val="24"/>
          <w:highlight w:val="none"/>
          <w:lang w:val="en-US" w:eastAsia="zh-CN"/>
        </w:rPr>
        <w:t>%作为履约保证金</w:t>
      </w:r>
      <w:r>
        <w:rPr>
          <w:rFonts w:hint="eastAsia"/>
          <w:color w:val="auto"/>
          <w:szCs w:val="24"/>
          <w:highlight w:val="none"/>
        </w:rPr>
        <w:t>。</w:t>
      </w:r>
    </w:p>
    <w:p w14:paraId="777A3943">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7. 我方同意所提交的投标文件在“招标文件投标须知”中规定的投标有效期内有效，在此期间内如果中标，我方将受此约束。</w:t>
      </w:r>
    </w:p>
    <w:p w14:paraId="23C8C231">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 xml:space="preserve"> 8. 除非另外达成协议生效，你方的中标通知书和本投标文件将成为约束双方的合同文件的组成部分。</w:t>
      </w:r>
    </w:p>
    <w:p w14:paraId="3D18DB9A">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9. 我方按照招标文件的要求，提供的所有投标资料都是真实的，如我方提供的资料不真实，我方将放弃中标的权利，并承担由此产生的责任。</w:t>
      </w:r>
    </w:p>
    <w:p w14:paraId="2571A587">
      <w:pPr>
        <w:pStyle w:val="16"/>
        <w:spacing w:before="0" w:beforeAutospacing="0" w:after="0" w:afterAutospacing="0" w:line="400" w:lineRule="exact"/>
        <w:ind w:firstLine="480" w:firstLineChars="200"/>
        <w:rPr>
          <w:color w:val="auto"/>
          <w:szCs w:val="24"/>
          <w:highlight w:val="none"/>
        </w:rPr>
      </w:pPr>
      <w:r>
        <w:rPr>
          <w:rFonts w:hint="eastAsia"/>
          <w:color w:val="auto"/>
          <w:szCs w:val="24"/>
          <w:highlight w:val="none"/>
        </w:rPr>
        <w:t>10. 我方在实施本项目时做到安全第一、质量第一。如涉及到安全或质量问题由我方负责。</w:t>
      </w:r>
    </w:p>
    <w:p w14:paraId="284EA539">
      <w:pPr>
        <w:spacing w:line="360" w:lineRule="auto"/>
        <w:jc w:val="left"/>
        <w:rPr>
          <w:rFonts w:hint="eastAsia" w:ascii="宋体" w:hAnsi="宋体" w:cs="宋体"/>
          <w:color w:val="auto"/>
          <w:sz w:val="24"/>
          <w:szCs w:val="24"/>
          <w:highlight w:val="none"/>
        </w:rPr>
      </w:pPr>
    </w:p>
    <w:p w14:paraId="01EC2EC6">
      <w:pPr>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（盖章）                   </w:t>
      </w:r>
    </w:p>
    <w:p w14:paraId="3DB01EF8">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p>
    <w:p w14:paraId="76402F7A">
      <w:pPr>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（签字或盖章）            </w:t>
      </w:r>
    </w:p>
    <w:p w14:paraId="59C1E512">
      <w:pPr>
        <w:spacing w:line="360" w:lineRule="auto"/>
        <w:ind w:left="1440" w:hanging="1440" w:hangingChars="600"/>
        <w:jc w:val="left"/>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p>
    <w:p w14:paraId="3D7AAF0D">
      <w:pPr>
        <w:spacing w:line="360" w:lineRule="auto"/>
        <w:ind w:left="1440" w:hanging="1440" w:hangingChars="600"/>
        <w:jc w:val="left"/>
        <w:rPr>
          <w:rFonts w:ascii="宋体" w:hAnsi="宋体" w:cs="宋体"/>
          <w:color w:val="auto"/>
          <w:sz w:val="24"/>
          <w:szCs w:val="24"/>
          <w:highlight w:val="none"/>
        </w:rPr>
      </w:pPr>
    </w:p>
    <w:p w14:paraId="458BDFC7">
      <w:pPr>
        <w:spacing w:line="360" w:lineRule="auto"/>
        <w:ind w:left="1793" w:leftChars="854"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9F77B5F">
      <w:pPr>
        <w:rPr>
          <w:b/>
          <w:bCs/>
          <w:color w:val="auto"/>
          <w:highlight w:val="none"/>
        </w:rPr>
      </w:pPr>
      <w:r>
        <w:rPr>
          <w:rFonts w:hint="eastAsia"/>
          <w:b/>
          <w:bCs/>
          <w:color w:val="auto"/>
          <w:highlight w:val="none"/>
        </w:rPr>
        <w:br w:type="page"/>
      </w:r>
    </w:p>
    <w:p w14:paraId="6CD6B170">
      <w:pPr>
        <w:pStyle w:val="16"/>
        <w:spacing w:line="225" w:lineRule="atLeast"/>
        <w:jc w:val="center"/>
        <w:rPr>
          <w:b/>
          <w:bCs/>
          <w:color w:val="auto"/>
          <w:sz w:val="32"/>
          <w:szCs w:val="32"/>
          <w:highlight w:val="none"/>
        </w:rPr>
      </w:pPr>
      <w:r>
        <w:rPr>
          <w:rFonts w:hint="eastAsia"/>
          <w:b/>
          <w:bCs/>
          <w:color w:val="auto"/>
          <w:sz w:val="32"/>
          <w:szCs w:val="32"/>
          <w:highlight w:val="none"/>
        </w:rPr>
        <w:t>投标人诚信承诺书</w:t>
      </w:r>
    </w:p>
    <w:p w14:paraId="48F39BF1">
      <w:pPr>
        <w:spacing w:line="360" w:lineRule="auto"/>
        <w:rPr>
          <w:rFonts w:ascii="宋体" w:hAnsi="宋体" w:cs="宋体"/>
          <w:bCs/>
          <w:color w:val="auto"/>
          <w:sz w:val="28"/>
          <w:szCs w:val="28"/>
          <w:highlight w:val="none"/>
        </w:rPr>
      </w:pPr>
    </w:p>
    <w:p w14:paraId="66DBC23A">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u w:val="single"/>
          <w:lang w:eastAsia="zh-CN"/>
        </w:rPr>
        <w:t>江苏洋口港港务有限公司</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（招标人）：</w:t>
      </w:r>
    </w:p>
    <w:p w14:paraId="7EA30D08">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我单位在参加贵单位组织的</w:t>
      </w:r>
      <w:r>
        <w:rPr>
          <w:rFonts w:hint="eastAsia" w:ascii="宋体" w:hAnsi="宋体" w:cs="Times New Roman"/>
          <w:color w:val="auto"/>
          <w:sz w:val="24"/>
          <w:szCs w:val="24"/>
          <w:highlight w:val="none"/>
          <w:u w:val="single"/>
          <w:lang w:val="en-US" w:eastAsia="zh-CN"/>
        </w:rPr>
        <w:t>如东县阳光岛应急仓库应急物资采购项目</w:t>
      </w:r>
      <w:r>
        <w:rPr>
          <w:rFonts w:hint="eastAsia" w:ascii="宋体" w:hAnsi="宋体" w:cs="宋体"/>
          <w:bCs/>
          <w:color w:val="auto"/>
          <w:sz w:val="24"/>
          <w:szCs w:val="24"/>
          <w:highlight w:val="none"/>
        </w:rPr>
        <w:t>的招投标活动中，郑重承诺如下：</w:t>
      </w:r>
    </w:p>
    <w:p w14:paraId="5595ED27">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 我方申报的所有资料都是真实、准确、完整的;</w:t>
      </w:r>
    </w:p>
    <w:p w14:paraId="6415C98A">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 我方无资质挂靠或参与串标、围标、及抬标情形;</w:t>
      </w:r>
    </w:p>
    <w:p w14:paraId="02D93822">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 我方没有被各级行政主管部门做出停止市场行为的处罚;</w:t>
      </w:r>
    </w:p>
    <w:p w14:paraId="2C0EFE84">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 若我方中标，将严格按照规定及时与招标单位签订合同;</w:t>
      </w:r>
    </w:p>
    <w:p w14:paraId="20AD6DEC">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 若我方中标，将严格按照投标文件所承诺的报价、质量、供货期等内容组织实施;</w:t>
      </w:r>
    </w:p>
    <w:p w14:paraId="1385F9E1">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14:paraId="1A6D0BBE">
      <w:pPr>
        <w:spacing w:line="360" w:lineRule="auto"/>
        <w:rPr>
          <w:rFonts w:ascii="宋体" w:hAnsi="宋体" w:cs="宋体"/>
          <w:bCs/>
          <w:color w:val="auto"/>
          <w:sz w:val="24"/>
          <w:szCs w:val="24"/>
          <w:highlight w:val="none"/>
        </w:rPr>
      </w:pPr>
    </w:p>
    <w:p w14:paraId="1F4DC093">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投标人(盖公章)：</w:t>
      </w:r>
      <w:r>
        <w:rPr>
          <w:rFonts w:hint="eastAsia" w:ascii="宋体" w:hAnsi="宋体" w:cs="宋体"/>
          <w:bCs/>
          <w:color w:val="auto"/>
          <w:sz w:val="24"/>
          <w:szCs w:val="24"/>
          <w:highlight w:val="none"/>
          <w:u w:val="single"/>
        </w:rPr>
        <w:t xml:space="preserve">                              </w:t>
      </w:r>
    </w:p>
    <w:p w14:paraId="294BC561">
      <w:pPr>
        <w:spacing w:line="360" w:lineRule="auto"/>
        <w:rPr>
          <w:rFonts w:ascii="宋体" w:hAnsi="宋体" w:cs="宋体"/>
          <w:bCs/>
          <w:color w:val="auto"/>
          <w:sz w:val="24"/>
          <w:szCs w:val="24"/>
          <w:highlight w:val="none"/>
        </w:rPr>
      </w:pPr>
    </w:p>
    <w:p w14:paraId="62E6789D">
      <w:pPr>
        <w:spacing w:line="360" w:lineRule="auto"/>
        <w:rPr>
          <w:rStyle w:val="21"/>
          <w:rFonts w:ascii="宋体" w:hAnsi="宋体" w:cs="宋体"/>
          <w:b w:val="0"/>
          <w:color w:val="auto"/>
          <w:sz w:val="24"/>
          <w:szCs w:val="24"/>
          <w:highlight w:val="none"/>
        </w:rPr>
      </w:pPr>
      <w:r>
        <w:rPr>
          <w:rFonts w:hint="eastAsia" w:ascii="宋体" w:hAnsi="宋体" w:cs="宋体"/>
          <w:bCs/>
          <w:color w:val="auto"/>
          <w:sz w:val="24"/>
          <w:szCs w:val="24"/>
          <w:highlight w:val="none"/>
        </w:rPr>
        <w:t>法定代表人(签字或盖章)：</w:t>
      </w:r>
      <w:r>
        <w:rPr>
          <w:rFonts w:hint="eastAsia" w:ascii="宋体" w:hAnsi="宋体" w:cs="宋体"/>
          <w:bCs/>
          <w:color w:val="auto"/>
          <w:sz w:val="24"/>
          <w:szCs w:val="24"/>
          <w:highlight w:val="none"/>
          <w:u w:val="single"/>
        </w:rPr>
        <w:t xml:space="preserve">                      </w:t>
      </w:r>
    </w:p>
    <w:p w14:paraId="6150536D">
      <w:pPr>
        <w:spacing w:line="360" w:lineRule="auto"/>
        <w:jc w:val="right"/>
        <w:rPr>
          <w:rFonts w:ascii="宋体" w:hAnsi="宋体" w:cs="宋体"/>
          <w:color w:val="auto"/>
          <w:sz w:val="24"/>
          <w:szCs w:val="24"/>
          <w:highlight w:val="none"/>
        </w:rPr>
      </w:pPr>
    </w:p>
    <w:p w14:paraId="2AD1AB9F">
      <w:pPr>
        <w:spacing w:line="360" w:lineRule="auto"/>
        <w:jc w:val="right"/>
        <w:rPr>
          <w:rFonts w:hint="eastAsia" w:ascii="宋体" w:hAnsi="宋体" w:cs="宋体"/>
          <w:color w:val="auto"/>
          <w:sz w:val="24"/>
          <w:szCs w:val="24"/>
          <w:highlight w:val="none"/>
        </w:rPr>
      </w:pPr>
    </w:p>
    <w:p w14:paraId="456C090D">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6F570782">
      <w:pPr>
        <w:spacing w:line="480" w:lineRule="exact"/>
        <w:rPr>
          <w:rFonts w:ascii="宋体" w:hAnsi="宋体" w:cs="宋体"/>
          <w:b/>
          <w:bCs/>
          <w:color w:val="auto"/>
          <w:kern w:val="0"/>
          <w:sz w:val="28"/>
          <w:szCs w:val="28"/>
          <w:highlight w:val="non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8"/>
          <w:szCs w:val="28"/>
          <w:highlight w:val="none"/>
        </w:rPr>
        <w:t>附件五：</w:t>
      </w:r>
    </w:p>
    <w:p w14:paraId="3F6AB76C">
      <w:pPr>
        <w:spacing w:line="480" w:lineRule="exact"/>
        <w:jc w:val="center"/>
        <w:rPr>
          <w:rFonts w:ascii="宋体" w:hAnsi="宋体"/>
          <w:color w:val="auto"/>
          <w:sz w:val="32"/>
          <w:szCs w:val="32"/>
          <w:highlight w:val="none"/>
        </w:rPr>
      </w:pPr>
      <w:r>
        <w:rPr>
          <w:rFonts w:hint="eastAsia" w:ascii="宋体" w:hAnsi="宋体"/>
          <w:b/>
          <w:bCs/>
          <w:color w:val="auto"/>
          <w:sz w:val="32"/>
          <w:szCs w:val="32"/>
          <w:highlight w:val="none"/>
        </w:rPr>
        <w:t>公共资源交易投标信用承诺书</w:t>
      </w:r>
    </w:p>
    <w:p w14:paraId="5772DAA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为营造公开、公平、公正的公共资源交易环境，树立诚信守法的投标人形象,本人代表本单位作出以下承诺：</w:t>
      </w:r>
    </w:p>
    <w:p w14:paraId="66712C68">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29CD5FD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二、严格依照国家和省、市、县关于招标投标等方面的法律、法规、规章、规范性文件,参加公共资源交易招标投标活动；积极履行社会责任,促进廉政建设；</w:t>
      </w:r>
    </w:p>
    <w:p w14:paraId="5895208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三、严格遵守即时信息公示规定,及时更新公共资源交易中心主体信息库中信息；</w:t>
      </w:r>
    </w:p>
    <w:p w14:paraId="13C8D94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四、自我约束、自我管理,守合同、重信用,不参与围标串标、弄虚作假、骗取中标、干扰评标、违约毁约、恶意投诉等行为,主动维护公共资源交易招标投标的良好秩序；</w:t>
      </w:r>
    </w:p>
    <w:p w14:paraId="6087CA8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E80ACF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六、自觉接受政府部门、行业组织、社会公众、新闻舆论等监督；</w:t>
      </w:r>
    </w:p>
    <w:p w14:paraId="07510EB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七、上述承诺已向本单位员工作了宣传教育；</w:t>
      </w:r>
    </w:p>
    <w:p w14:paraId="04478EB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本单位同意将以上承诺事项上网公示。</w:t>
      </w:r>
    </w:p>
    <w:p w14:paraId="523A65A7">
      <w:pPr>
        <w:spacing w:line="540" w:lineRule="exact"/>
        <w:ind w:firstLine="240" w:firstLineChars="100"/>
        <w:rPr>
          <w:rFonts w:hint="eastAsia" w:ascii="宋体" w:hAnsi="宋体" w:cs="宋体"/>
          <w:color w:val="auto"/>
          <w:sz w:val="24"/>
          <w:szCs w:val="24"/>
          <w:highlight w:val="none"/>
        </w:rPr>
      </w:pPr>
    </w:p>
    <w:p w14:paraId="51ADC4CB">
      <w:pPr>
        <w:spacing w:line="5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企业名称（盖章）                  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w:t>
      </w:r>
      <w:r>
        <w:rPr>
          <w:rFonts w:hint="eastAsia" w:ascii="宋体" w:hAnsi="宋体" w:cs="宋体"/>
          <w:color w:val="auto"/>
          <w:sz w:val="24"/>
          <w:szCs w:val="24"/>
          <w:highlight w:val="none"/>
          <w:lang w:val="en-US" w:eastAsia="zh-CN"/>
        </w:rPr>
        <w:t>字或盖章）</w:t>
      </w:r>
      <w:r>
        <w:rPr>
          <w:rFonts w:hint="eastAsia" w:ascii="宋体" w:hAnsi="宋体" w:cs="宋体"/>
          <w:color w:val="auto"/>
          <w:sz w:val="24"/>
          <w:szCs w:val="24"/>
          <w:highlight w:val="none"/>
        </w:rPr>
        <w:t>：</w:t>
      </w:r>
    </w:p>
    <w:p w14:paraId="5B55D01C">
      <w:pPr>
        <w:spacing w:line="540" w:lineRule="exact"/>
        <w:ind w:firstLine="240" w:firstLineChars="100"/>
        <w:rPr>
          <w:rFonts w:hint="eastAsia" w:ascii="宋体" w:hAnsi="宋体" w:cs="宋体"/>
          <w:color w:val="auto"/>
          <w:sz w:val="24"/>
          <w:szCs w:val="24"/>
          <w:highlight w:val="none"/>
        </w:rPr>
      </w:pPr>
    </w:p>
    <w:p w14:paraId="334C388E">
      <w:pPr>
        <w:spacing w:line="540" w:lineRule="exact"/>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时间：  年   月  日</w:t>
      </w:r>
    </w:p>
    <w:p w14:paraId="2599616C">
      <w:pPr>
        <w:widowControl/>
        <w:spacing w:before="100" w:beforeAutospacing="1" w:after="100" w:afterAutospacing="1"/>
        <w:ind w:firstLine="2160" w:firstLineChars="900"/>
        <w:jc w:val="left"/>
        <w:rPr>
          <w:rFonts w:ascii="宋体" w:hAnsi="宋体" w:cs="宋体"/>
          <w:color w:val="auto"/>
          <w:kern w:val="0"/>
          <w:sz w:val="24"/>
          <w:szCs w:val="24"/>
          <w:highlight w:val="none"/>
        </w:rPr>
      </w:pPr>
    </w:p>
    <w:p w14:paraId="607A6775">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24ABEB30">
      <w:pPr>
        <w:widowControl/>
        <w:spacing w:before="100" w:beforeAutospacing="1" w:after="100" w:afterAutospacing="1"/>
        <w:jc w:val="left"/>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附件六：</w:t>
      </w:r>
    </w:p>
    <w:p w14:paraId="34A7425C">
      <w:pPr>
        <w:pStyle w:val="6"/>
        <w:spacing w:line="360" w:lineRule="auto"/>
        <w:ind w:firstLine="6274" w:firstLineChars="1953"/>
        <w:rPr>
          <w:rFonts w:ascii="宋体" w:hAnsi="宋体" w:cs="宋体"/>
          <w:b/>
          <w:bCs/>
          <w:color w:val="auto"/>
          <w:sz w:val="28"/>
          <w:szCs w:val="28"/>
          <w:highlight w:val="none"/>
        </w:rPr>
      </w:pPr>
      <w:r>
        <w:rPr>
          <w:rFonts w:hint="eastAsia" w:ascii="宋体" w:hAnsi="宋体" w:cs="宋体"/>
          <w:b/>
          <w:bCs/>
          <w:color w:val="auto"/>
          <w:sz w:val="32"/>
          <w:szCs w:val="32"/>
          <w:highlight w:val="none"/>
        </w:rPr>
        <w:t>（正本/副本）</w:t>
      </w:r>
    </w:p>
    <w:p w14:paraId="141CC55D">
      <w:pPr>
        <w:pStyle w:val="6"/>
        <w:spacing w:line="360" w:lineRule="auto"/>
        <w:ind w:firstLine="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7FB759D9">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p>
    <w:p w14:paraId="38D9FE2C">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p>
    <w:p w14:paraId="71D52E2B">
      <w:pPr>
        <w:adjustRightInd w:val="0"/>
        <w:spacing w:line="360" w:lineRule="auto"/>
        <w:jc w:val="center"/>
        <w:textAlignment w:val="baseline"/>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如东县阳光岛应急仓库应急物资采购项目</w:t>
      </w:r>
    </w:p>
    <w:p w14:paraId="46ECBC0F">
      <w:pPr>
        <w:adjustRightInd w:val="0"/>
        <w:spacing w:line="360" w:lineRule="auto"/>
        <w:ind w:firstLine="482"/>
        <w:jc w:val="center"/>
        <w:textAlignment w:val="baseline"/>
        <w:rPr>
          <w:rFonts w:ascii="宋体" w:hAnsi="宋体" w:cs="宋体"/>
          <w:color w:val="auto"/>
          <w:kern w:val="0"/>
          <w:sz w:val="28"/>
          <w:szCs w:val="28"/>
          <w:highlight w:val="none"/>
        </w:rPr>
      </w:pPr>
    </w:p>
    <w:p w14:paraId="5E0BC2FD">
      <w:pPr>
        <w:pStyle w:val="2"/>
        <w:rPr>
          <w:color w:val="auto"/>
          <w:highlight w:val="none"/>
        </w:rPr>
      </w:pPr>
    </w:p>
    <w:p w14:paraId="61FA8E4F">
      <w:pPr>
        <w:pStyle w:val="2"/>
        <w:rPr>
          <w:color w:val="auto"/>
          <w:highlight w:val="none"/>
        </w:rPr>
      </w:pPr>
    </w:p>
    <w:p w14:paraId="0C9660C2">
      <w:pPr>
        <w:pStyle w:val="2"/>
        <w:rPr>
          <w:color w:val="auto"/>
          <w:highlight w:val="none"/>
        </w:rPr>
      </w:pPr>
    </w:p>
    <w:p w14:paraId="35C6496F">
      <w:pPr>
        <w:adjustRightInd w:val="0"/>
        <w:spacing w:line="360" w:lineRule="auto"/>
        <w:ind w:firstLine="482"/>
        <w:jc w:val="center"/>
        <w:textAlignment w:val="baseline"/>
        <w:rPr>
          <w:rFonts w:hint="eastAsia" w:ascii="宋体" w:hAnsi="宋体" w:eastAsia="宋体" w:cs="宋体"/>
          <w:b/>
          <w:bCs/>
          <w:color w:val="auto"/>
          <w:spacing w:val="60"/>
          <w:kern w:val="0"/>
          <w:sz w:val="48"/>
          <w:szCs w:val="48"/>
          <w:highlight w:val="none"/>
          <w:lang w:eastAsia="zh-CN"/>
        </w:rPr>
      </w:pPr>
      <w:r>
        <w:rPr>
          <w:rFonts w:hint="eastAsia" w:ascii="宋体" w:hAnsi="宋体" w:cs="宋体"/>
          <w:b/>
          <w:bCs/>
          <w:color w:val="auto"/>
          <w:spacing w:val="60"/>
          <w:kern w:val="0"/>
          <w:sz w:val="48"/>
          <w:szCs w:val="48"/>
          <w:highlight w:val="none"/>
          <w:lang w:eastAsia="zh-CN"/>
        </w:rPr>
        <w:t>经济标</w:t>
      </w:r>
    </w:p>
    <w:p w14:paraId="420CDCAA">
      <w:pPr>
        <w:adjustRightInd w:val="0"/>
        <w:spacing w:line="360" w:lineRule="auto"/>
        <w:ind w:firstLine="482"/>
        <w:jc w:val="center"/>
        <w:textAlignment w:val="baseline"/>
        <w:rPr>
          <w:rFonts w:ascii="宋体" w:hAnsi="宋体" w:cs="宋体"/>
          <w:color w:val="auto"/>
          <w:kern w:val="0"/>
          <w:sz w:val="32"/>
          <w:szCs w:val="32"/>
          <w:highlight w:val="none"/>
        </w:rPr>
      </w:pPr>
    </w:p>
    <w:p w14:paraId="1AECE606">
      <w:pPr>
        <w:adjustRightInd w:val="0"/>
        <w:spacing w:line="360" w:lineRule="auto"/>
        <w:ind w:firstLine="482"/>
        <w:jc w:val="center"/>
        <w:textAlignment w:val="baseline"/>
        <w:rPr>
          <w:rFonts w:ascii="宋体" w:hAnsi="宋体" w:cs="宋体"/>
          <w:color w:val="auto"/>
          <w:kern w:val="0"/>
          <w:sz w:val="28"/>
          <w:szCs w:val="28"/>
          <w:highlight w:val="none"/>
        </w:rPr>
      </w:pPr>
    </w:p>
    <w:p w14:paraId="1F36002A">
      <w:pPr>
        <w:adjustRightInd w:val="0"/>
        <w:spacing w:line="360" w:lineRule="auto"/>
        <w:ind w:firstLine="482"/>
        <w:jc w:val="center"/>
        <w:textAlignment w:val="baseline"/>
        <w:rPr>
          <w:rFonts w:ascii="宋体" w:hAnsi="宋体" w:cs="宋体"/>
          <w:color w:val="auto"/>
          <w:kern w:val="0"/>
          <w:sz w:val="28"/>
          <w:szCs w:val="28"/>
          <w:highlight w:val="none"/>
        </w:rPr>
      </w:pPr>
    </w:p>
    <w:p w14:paraId="67E0D611">
      <w:pPr>
        <w:adjustRightInd w:val="0"/>
        <w:spacing w:line="360" w:lineRule="auto"/>
        <w:textAlignment w:val="baseline"/>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投标人(盖章)：</w:t>
      </w:r>
      <w:r>
        <w:rPr>
          <w:rFonts w:hint="eastAsia" w:ascii="宋体" w:hAnsi="宋体" w:cs="宋体"/>
          <w:color w:val="auto"/>
          <w:kern w:val="0"/>
          <w:sz w:val="28"/>
          <w:szCs w:val="28"/>
          <w:highlight w:val="none"/>
          <w:u w:val="single"/>
        </w:rPr>
        <w:t xml:space="preserve">                                 </w:t>
      </w:r>
    </w:p>
    <w:p w14:paraId="2CF2B892">
      <w:pPr>
        <w:adjustRightInd w:val="0"/>
        <w:spacing w:line="360" w:lineRule="auto"/>
        <w:ind w:firstLine="448" w:firstLineChars="160"/>
        <w:textAlignment w:val="baseline"/>
        <w:rPr>
          <w:rFonts w:ascii="宋体" w:hAnsi="宋体" w:cs="宋体"/>
          <w:color w:val="auto"/>
          <w:kern w:val="0"/>
          <w:sz w:val="28"/>
          <w:szCs w:val="28"/>
          <w:highlight w:val="none"/>
        </w:rPr>
      </w:pPr>
    </w:p>
    <w:p w14:paraId="7D9BFDDB">
      <w:pPr>
        <w:adjustRightInd w:val="0"/>
        <w:spacing w:line="360" w:lineRule="auto"/>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 (签字或盖章)：</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14:paraId="516E7AD7">
      <w:pPr>
        <w:adjustRightInd w:val="0"/>
        <w:spacing w:line="360" w:lineRule="auto"/>
        <w:ind w:firstLine="448" w:firstLineChars="160"/>
        <w:textAlignment w:val="baseline"/>
        <w:rPr>
          <w:rFonts w:ascii="宋体" w:hAnsi="宋体" w:cs="宋体"/>
          <w:color w:val="auto"/>
          <w:kern w:val="0"/>
          <w:sz w:val="28"/>
          <w:szCs w:val="28"/>
          <w:highlight w:val="none"/>
        </w:rPr>
      </w:pPr>
    </w:p>
    <w:p w14:paraId="744E6F0F">
      <w:pPr>
        <w:adjustRightInd w:val="0"/>
        <w:spacing w:line="360" w:lineRule="auto"/>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   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14613D24">
      <w:pPr>
        <w:pStyle w:val="2"/>
        <w:rPr>
          <w:color w:val="auto"/>
          <w:highlight w:val="none"/>
        </w:rPr>
      </w:pPr>
    </w:p>
    <w:p w14:paraId="703B78AE">
      <w:pPr>
        <w:pStyle w:val="2"/>
        <w:rPr>
          <w:b/>
          <w:color w:val="auto"/>
          <w:highlight w:val="none"/>
        </w:rPr>
      </w:pPr>
      <w:r>
        <w:rPr>
          <w:rFonts w:hint="eastAsia"/>
          <w:b/>
          <w:color w:val="auto"/>
          <w:highlight w:val="none"/>
        </w:rPr>
        <w:br w:type="page"/>
      </w:r>
      <w:r>
        <w:rPr>
          <w:rFonts w:hint="eastAsia"/>
          <w:b/>
          <w:color w:val="auto"/>
          <w:highlight w:val="none"/>
        </w:rPr>
        <w:t>附件</w:t>
      </w:r>
      <w:r>
        <w:rPr>
          <w:rFonts w:hint="eastAsia"/>
          <w:b/>
          <w:color w:val="auto"/>
          <w:highlight w:val="none"/>
          <w:lang w:val="en-US" w:eastAsia="zh-CN"/>
        </w:rPr>
        <w:t>七</w:t>
      </w:r>
      <w:r>
        <w:rPr>
          <w:rFonts w:hint="eastAsia"/>
          <w:b/>
          <w:color w:val="auto"/>
          <w:highlight w:val="none"/>
        </w:rPr>
        <w:t>：</w:t>
      </w:r>
    </w:p>
    <w:p w14:paraId="68D9CE86">
      <w:pPr>
        <w:pStyle w:val="16"/>
        <w:spacing w:line="225" w:lineRule="atLeast"/>
        <w:jc w:val="both"/>
        <w:rPr>
          <w:b/>
          <w:bCs/>
          <w:color w:val="auto"/>
          <w:sz w:val="30"/>
          <w:szCs w:val="30"/>
          <w:highlight w:val="none"/>
        </w:rPr>
      </w:pPr>
      <w:r>
        <w:rPr>
          <w:rFonts w:hint="eastAsia"/>
          <w:b/>
          <w:bCs/>
          <w:color w:val="auto"/>
          <w:sz w:val="28"/>
          <w:szCs w:val="28"/>
          <w:highlight w:val="none"/>
        </w:rPr>
        <w:t xml:space="preserve">                 </w:t>
      </w:r>
    </w:p>
    <w:p w14:paraId="0E7D38EB">
      <w:pPr>
        <w:jc w:val="center"/>
        <w:rPr>
          <w:rFonts w:ascii="宋体" w:hAnsi="宋体" w:cs="宋体"/>
          <w:b/>
          <w:color w:val="auto"/>
          <w:sz w:val="36"/>
          <w:szCs w:val="36"/>
          <w:highlight w:val="none"/>
        </w:rPr>
      </w:pPr>
      <w:r>
        <w:rPr>
          <w:rFonts w:hint="eastAsia" w:ascii="宋体" w:hAnsi="宋体" w:cs="宋体"/>
          <w:b/>
          <w:color w:val="auto"/>
          <w:sz w:val="32"/>
          <w:szCs w:val="32"/>
          <w:highlight w:val="none"/>
        </w:rPr>
        <w:t>投 标 报 价 单</w:t>
      </w:r>
    </w:p>
    <w:p w14:paraId="5EACCBFC">
      <w:pPr>
        <w:rPr>
          <w:rFonts w:ascii="宋体" w:hAnsi="宋体" w:cs="宋体"/>
          <w:color w:val="auto"/>
          <w:sz w:val="30"/>
          <w:szCs w:val="30"/>
          <w:highlight w:val="none"/>
        </w:rPr>
      </w:pPr>
    </w:p>
    <w:p w14:paraId="301E77D5">
      <w:pPr>
        <w:spacing w:line="520" w:lineRule="exact"/>
        <w:rPr>
          <w:rFonts w:ascii="宋体" w:hAnsi="宋体" w:cs="宋体"/>
          <w:color w:val="auto"/>
          <w:sz w:val="24"/>
          <w:szCs w:val="24"/>
          <w:highlight w:val="none"/>
        </w:rPr>
      </w:pPr>
      <w:r>
        <w:rPr>
          <w:rFonts w:hint="eastAsia" w:ascii="宋体" w:hAnsi="宋体" w:cs="宋体"/>
          <w:b/>
          <w:bCs/>
          <w:color w:val="auto"/>
          <w:sz w:val="24"/>
          <w:szCs w:val="24"/>
          <w:highlight w:val="none"/>
          <w:u w:val="single"/>
          <w:lang w:eastAsia="zh-CN"/>
        </w:rPr>
        <w:t>江苏洋口港港务有限公司</w:t>
      </w:r>
      <w:r>
        <w:rPr>
          <w:rFonts w:hint="eastAsia" w:ascii="宋体" w:hAnsi="宋体" w:cs="宋体"/>
          <w:color w:val="auto"/>
          <w:sz w:val="24"/>
          <w:szCs w:val="24"/>
          <w:highlight w:val="none"/>
        </w:rPr>
        <w:t>:</w:t>
      </w:r>
    </w:p>
    <w:p w14:paraId="532E62FE">
      <w:pPr>
        <w:spacing w:line="520" w:lineRule="exact"/>
        <w:ind w:firstLine="600" w:firstLineChars="250"/>
        <w:rPr>
          <w:rFonts w:ascii="宋体" w:hAnsi="宋体" w:cs="宋体"/>
          <w:b/>
          <w:bCs/>
          <w:color w:val="auto"/>
          <w:sz w:val="24"/>
          <w:szCs w:val="24"/>
          <w:highlight w:val="none"/>
          <w:u w:val="single"/>
        </w:rPr>
      </w:pPr>
      <w:r>
        <w:rPr>
          <w:rFonts w:hint="eastAsia" w:ascii="宋体" w:hAnsi="宋体" w:cs="宋体"/>
          <w:color w:val="auto"/>
          <w:sz w:val="24"/>
          <w:szCs w:val="24"/>
          <w:highlight w:val="none"/>
        </w:rPr>
        <w:t>一、采购项目名称：</w:t>
      </w:r>
      <w:r>
        <w:rPr>
          <w:rFonts w:hint="eastAsia" w:ascii="宋体" w:hAnsi="宋体" w:cs="Times New Roman"/>
          <w:color w:val="auto"/>
          <w:sz w:val="24"/>
          <w:szCs w:val="24"/>
          <w:highlight w:val="none"/>
          <w:u w:val="none"/>
          <w:lang w:val="en-US" w:eastAsia="zh-CN"/>
        </w:rPr>
        <w:t>如东县阳光岛应急仓库应急物资采购项目</w:t>
      </w:r>
      <w:r>
        <w:rPr>
          <w:rFonts w:hint="eastAsia" w:ascii="宋体" w:hAnsi="宋体" w:cs="宋体"/>
          <w:color w:val="auto"/>
          <w:sz w:val="24"/>
          <w:szCs w:val="24"/>
          <w:highlight w:val="none"/>
        </w:rPr>
        <w:t>。</w:t>
      </w:r>
    </w:p>
    <w:p w14:paraId="5473586B">
      <w:pPr>
        <w:pStyle w:val="6"/>
        <w:spacing w:line="480" w:lineRule="exact"/>
        <w:ind w:firstLine="600" w:firstLineChars="250"/>
        <w:rPr>
          <w:rFonts w:ascii="宋体" w:hAnsi="宋体" w:eastAsia="宋体" w:cs="宋体"/>
          <w:b/>
          <w:color w:val="auto"/>
          <w:highlight w:val="none"/>
          <w:u w:val="single"/>
        </w:rPr>
      </w:pPr>
      <w:r>
        <w:rPr>
          <w:rFonts w:hint="eastAsia" w:ascii="宋体" w:hAnsi="宋体" w:eastAsia="宋体" w:cs="宋体"/>
          <w:color w:val="auto"/>
          <w:highlight w:val="none"/>
        </w:rPr>
        <w:t>二、我单位将遵照《中华人民共和国</w:t>
      </w:r>
      <w:r>
        <w:rPr>
          <w:rFonts w:hint="eastAsia" w:ascii="宋体" w:hAnsi="宋体" w:eastAsia="宋体" w:cs="宋体"/>
          <w:color w:val="auto"/>
          <w:highlight w:val="none"/>
          <w:lang w:val="en-US" w:eastAsia="zh-CN"/>
        </w:rPr>
        <w:t>政府采购</w:t>
      </w:r>
      <w:r>
        <w:rPr>
          <w:rFonts w:hint="eastAsia" w:ascii="宋体" w:hAnsi="宋体" w:eastAsia="宋体" w:cs="宋体"/>
          <w:color w:val="auto"/>
          <w:highlight w:val="none"/>
        </w:rPr>
        <w:t>法》等有关规定，并根据该项目采购文件的规定，经考察现场和研究采购文件后，</w:t>
      </w:r>
      <w:r>
        <w:rPr>
          <w:rFonts w:hint="eastAsia" w:ascii="宋体" w:hAnsi="宋体" w:eastAsia="宋体" w:cs="宋体"/>
          <w:b/>
          <w:color w:val="auto"/>
          <w:highlight w:val="none"/>
          <w:u w:val="none"/>
          <w:lang w:val="en-US" w:eastAsia="zh-CN"/>
        </w:rPr>
        <w:t>愿以人民币（大写）</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b/>
          <w:color w:val="auto"/>
          <w:highlight w:val="none"/>
          <w:u w:val="none"/>
          <w:lang w:val="en-US" w:eastAsia="zh-CN"/>
        </w:rPr>
        <w:t xml:space="preserve"> 元，</w:t>
      </w:r>
      <w:r>
        <w:rPr>
          <w:rFonts w:ascii="宋体" w:hAnsi="宋体"/>
          <w:b/>
          <w:color w:val="auto"/>
          <w:sz w:val="24"/>
          <w:highlight w:val="none"/>
          <w:u w:val="none"/>
        </w:rPr>
        <w:t>（小写）</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u w:val="none"/>
          <w:lang w:eastAsia="zh-CN"/>
        </w:rPr>
        <w:t>元（保留小数点后两位）</w:t>
      </w:r>
      <w:r>
        <w:rPr>
          <w:rFonts w:hint="eastAsia" w:ascii="宋体" w:hAnsi="宋体" w:eastAsia="宋体" w:cs="宋体"/>
          <w:b/>
          <w:color w:val="auto"/>
          <w:highlight w:val="none"/>
          <w:u w:val="none"/>
          <w:lang w:val="en-US" w:eastAsia="zh-CN"/>
        </w:rPr>
        <w:t>的投标总价</w:t>
      </w:r>
      <w:r>
        <w:rPr>
          <w:rFonts w:hint="eastAsia" w:ascii="宋体" w:hAnsi="宋体" w:eastAsia="宋体" w:cs="宋体"/>
          <w:b/>
          <w:color w:val="auto"/>
          <w:highlight w:val="none"/>
        </w:rPr>
        <w:t>，</w:t>
      </w:r>
      <w:r>
        <w:rPr>
          <w:rFonts w:hint="eastAsia" w:ascii="宋体" w:hAnsi="宋体" w:eastAsia="宋体" w:cs="宋体"/>
          <w:color w:val="auto"/>
          <w:highlight w:val="none"/>
        </w:rPr>
        <w:t>按采购文件的要求承包本次招标范围内的全部内容。</w:t>
      </w:r>
    </w:p>
    <w:p w14:paraId="40DAB51D">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注：</w:t>
      </w:r>
    </w:p>
    <w:p w14:paraId="7A5B4B31">
      <w:pPr>
        <w:keepNext w:val="0"/>
        <w:keepLines w:val="0"/>
        <w:pageBreakBefore w:val="0"/>
        <w:widowControl w:val="0"/>
        <w:numPr>
          <w:ilvl w:val="0"/>
          <w:numId w:val="0"/>
        </w:numPr>
        <w:kinsoku/>
        <w:wordWrap/>
        <w:overflowPunct/>
        <w:topLinePunct w:val="0"/>
        <w:autoSpaceDE/>
        <w:autoSpaceDN/>
        <w:bidi w:val="0"/>
        <w:snapToGrid/>
        <w:spacing w:line="400" w:lineRule="exact"/>
        <w:ind w:right="0" w:rightChars="0"/>
        <w:jc w:val="left"/>
        <w:textAlignment w:val="auto"/>
        <w:rPr>
          <w:rFonts w:hint="eastAsia" w:ascii="宋体" w:hAnsi="宋体" w:cs="宋体"/>
          <w:b/>
          <w:bCs w:val="0"/>
          <w:color w:val="auto"/>
          <w:sz w:val="24"/>
          <w:szCs w:val="24"/>
          <w:highlight w:val="none"/>
          <w:lang w:val="en-US" w:eastAsia="zh-CN"/>
        </w:rPr>
      </w:pPr>
      <w:r>
        <w:rPr>
          <w:rFonts w:hint="eastAsia" w:ascii="宋体" w:hAnsi="宋体" w:cs="宋体"/>
          <w:b w:val="0"/>
          <w:bCs/>
          <w:color w:val="auto"/>
          <w:sz w:val="24"/>
          <w:szCs w:val="24"/>
          <w:highlight w:val="none"/>
          <w:lang w:val="en-US" w:eastAsia="zh-CN"/>
        </w:rPr>
        <w:t>1、投标报价总价不得超过（含等于）本项目</w:t>
      </w:r>
      <w:r>
        <w:rPr>
          <w:rFonts w:hint="eastAsia" w:ascii="宋体" w:hAnsi="宋体" w:cs="宋体"/>
          <w:b/>
          <w:bCs w:val="0"/>
          <w:color w:val="auto"/>
          <w:sz w:val="24"/>
          <w:szCs w:val="24"/>
          <w:highlight w:val="none"/>
          <w:lang w:val="en-US" w:eastAsia="zh-CN"/>
        </w:rPr>
        <w:t>招标预算价。</w:t>
      </w:r>
    </w:p>
    <w:p w14:paraId="78E8CC7D">
      <w:pPr>
        <w:keepNext w:val="0"/>
        <w:keepLines w:val="0"/>
        <w:pageBreakBefore w:val="0"/>
        <w:widowControl w:val="0"/>
        <w:numPr>
          <w:ilvl w:val="0"/>
          <w:numId w:val="0"/>
        </w:numPr>
        <w:kinsoku/>
        <w:wordWrap/>
        <w:overflowPunct/>
        <w:topLinePunct w:val="0"/>
        <w:autoSpaceDE/>
        <w:autoSpaceDN/>
        <w:bidi w:val="0"/>
        <w:snapToGrid/>
        <w:spacing w:line="400" w:lineRule="exact"/>
        <w:ind w:right="0" w:rightChars="0"/>
        <w:jc w:val="left"/>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2、本项目采用</w:t>
      </w:r>
      <w:r>
        <w:rPr>
          <w:rFonts w:hint="eastAsia" w:ascii="宋体" w:hAnsi="宋体" w:eastAsia="宋体" w:cs="宋体"/>
          <w:color w:val="auto"/>
          <w:kern w:val="0"/>
          <w:sz w:val="24"/>
          <w:szCs w:val="24"/>
          <w:highlight w:val="none"/>
          <w:lang w:val="en-US" w:eastAsia="zh-CN"/>
        </w:rPr>
        <w:t>固定单价（全费用单价）的</w:t>
      </w:r>
      <w:r>
        <w:rPr>
          <w:rFonts w:hint="eastAsia" w:ascii="宋体" w:hAnsi="宋体" w:cs="宋体"/>
          <w:b w:val="0"/>
          <w:bCs/>
          <w:color w:val="auto"/>
          <w:sz w:val="24"/>
          <w:szCs w:val="24"/>
          <w:highlight w:val="none"/>
          <w:lang w:val="en-US" w:eastAsia="zh-CN"/>
        </w:rPr>
        <w:t>结算方式</w:t>
      </w:r>
      <w:r>
        <w:rPr>
          <w:rFonts w:hint="eastAsia" w:ascii="宋体" w:hAnsi="宋体" w:cs="宋体"/>
          <w:b/>
          <w:bCs w:val="0"/>
          <w:color w:val="auto"/>
          <w:sz w:val="24"/>
          <w:szCs w:val="24"/>
          <w:highlight w:val="none"/>
          <w:lang w:val="en-US" w:eastAsia="zh-CN"/>
        </w:rPr>
        <w:t>。</w:t>
      </w:r>
    </w:p>
    <w:p w14:paraId="7195CE79">
      <w:pPr>
        <w:keepNext w:val="0"/>
        <w:keepLines w:val="0"/>
        <w:pageBreakBefore w:val="0"/>
        <w:widowControl w:val="0"/>
        <w:numPr>
          <w:ilvl w:val="0"/>
          <w:numId w:val="0"/>
        </w:numPr>
        <w:kinsoku/>
        <w:wordWrap/>
        <w:overflowPunct/>
        <w:topLinePunct w:val="0"/>
        <w:autoSpaceDE/>
        <w:autoSpaceDN/>
        <w:bidi w:val="0"/>
        <w:snapToGrid/>
        <w:spacing w:line="400" w:lineRule="exact"/>
        <w:ind w:right="0" w:rightChars="0"/>
        <w:jc w:val="left"/>
        <w:textAlignment w:val="auto"/>
        <w:rPr>
          <w:rFonts w:hint="eastAsia" w:ascii="宋体" w:hAnsi="宋体" w:eastAsia="宋体" w:cs="Times New Roman"/>
          <w:b/>
          <w:bCs w:val="0"/>
          <w:color w:val="auto"/>
          <w:sz w:val="24"/>
          <w:szCs w:val="24"/>
          <w:highlight w:val="none"/>
          <w:u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cs="宋体"/>
          <w:b/>
          <w:bCs w:val="0"/>
          <w:color w:val="auto"/>
          <w:sz w:val="24"/>
          <w:szCs w:val="24"/>
          <w:highlight w:val="none"/>
          <w:lang w:val="en-US" w:eastAsia="zh-CN"/>
        </w:rPr>
        <w:t>以上费用包括为</w:t>
      </w:r>
      <w:r>
        <w:rPr>
          <w:rFonts w:hint="eastAsia" w:ascii="宋体" w:hAnsi="宋体" w:eastAsia="宋体" w:cs="Times New Roman"/>
          <w:b/>
          <w:bCs w:val="0"/>
          <w:color w:val="auto"/>
          <w:sz w:val="24"/>
          <w:szCs w:val="24"/>
          <w:highlight w:val="none"/>
          <w:u w:val="none"/>
          <w:lang w:val="en-US" w:eastAsia="zh-CN"/>
        </w:rPr>
        <w:t>完成如东县阳光岛应急仓库应急物资采购项目所需的供货、运杂费（包括卸货、二次搬运）费、包装费、保险费、</w:t>
      </w:r>
      <w:r>
        <w:rPr>
          <w:rFonts w:hint="eastAsia" w:ascii="宋体" w:hAnsi="宋体" w:cs="Times New Roman"/>
          <w:b/>
          <w:bCs w:val="0"/>
          <w:color w:val="auto"/>
          <w:sz w:val="24"/>
          <w:szCs w:val="24"/>
          <w:highlight w:val="none"/>
          <w:u w:val="none"/>
          <w:lang w:val="en-US" w:eastAsia="zh-CN"/>
        </w:rPr>
        <w:t>处置费、评标专家费、利润、税金</w:t>
      </w:r>
      <w:r>
        <w:rPr>
          <w:rFonts w:hint="eastAsia" w:ascii="宋体" w:hAnsi="宋体" w:eastAsia="宋体" w:cs="Times New Roman"/>
          <w:b/>
          <w:bCs w:val="0"/>
          <w:color w:val="auto"/>
          <w:sz w:val="24"/>
          <w:szCs w:val="24"/>
          <w:highlight w:val="none"/>
          <w:u w:val="none"/>
          <w:lang w:val="en-US" w:eastAsia="zh-CN"/>
        </w:rPr>
        <w:t>以及国家规定的各项费用等一切费用。</w:t>
      </w:r>
    </w:p>
    <w:p w14:paraId="158D3F2E">
      <w:pPr>
        <w:pStyle w:val="6"/>
        <w:spacing w:line="480" w:lineRule="exact"/>
        <w:ind w:firstLine="0"/>
        <w:rPr>
          <w:rFonts w:ascii="宋体" w:hAnsi="宋体" w:eastAsia="宋体" w:cs="宋体"/>
          <w:color w:val="auto"/>
          <w:highlight w:val="none"/>
        </w:rPr>
      </w:pPr>
    </w:p>
    <w:p w14:paraId="28D2EEE8">
      <w:pPr>
        <w:spacing w:line="520" w:lineRule="exact"/>
        <w:ind w:firstLine="602" w:firstLineChars="250"/>
        <w:rPr>
          <w:rFonts w:ascii="宋体" w:hAnsi="宋体" w:cs="宋体"/>
          <w:b/>
          <w:color w:val="auto"/>
          <w:sz w:val="24"/>
          <w:szCs w:val="24"/>
          <w:highlight w:val="none"/>
          <w:u w:val="single"/>
        </w:rPr>
      </w:pPr>
    </w:p>
    <w:p w14:paraId="5B0FB2C1">
      <w:pPr>
        <w:spacing w:line="520" w:lineRule="exact"/>
        <w:ind w:firstLine="600" w:firstLineChars="250"/>
        <w:rPr>
          <w:rFonts w:ascii="宋体" w:hAnsi="宋体" w:cs="宋体"/>
          <w:color w:val="auto"/>
          <w:sz w:val="24"/>
          <w:szCs w:val="24"/>
          <w:highlight w:val="none"/>
        </w:rPr>
      </w:pPr>
    </w:p>
    <w:p w14:paraId="5E59D81B">
      <w:pPr>
        <w:spacing w:line="520" w:lineRule="exact"/>
        <w:ind w:firstLine="600" w:firstLineChars="250"/>
        <w:rPr>
          <w:rFonts w:ascii="宋体" w:hAnsi="宋体" w:cs="宋体"/>
          <w:color w:val="auto"/>
          <w:sz w:val="24"/>
          <w:szCs w:val="24"/>
          <w:highlight w:val="none"/>
        </w:rPr>
      </w:pPr>
    </w:p>
    <w:p w14:paraId="12D58C65">
      <w:pPr>
        <w:pStyle w:val="6"/>
        <w:spacing w:line="480" w:lineRule="exact"/>
        <w:ind w:firstLine="0"/>
        <w:rPr>
          <w:rFonts w:ascii="宋体" w:hAnsi="宋体" w:cs="宋体"/>
          <w:color w:val="auto"/>
          <w:highlight w:val="none"/>
          <w:u w:val="single"/>
        </w:rPr>
      </w:pPr>
      <w:r>
        <w:rPr>
          <w:rFonts w:hint="eastAsia" w:ascii="宋体" w:hAnsi="宋体" w:cs="宋体"/>
          <w:color w:val="auto"/>
          <w:highlight w:val="none"/>
        </w:rPr>
        <w:t>投   标   人(加盖公章)：</w:t>
      </w:r>
      <w:r>
        <w:rPr>
          <w:rFonts w:hint="eastAsia" w:ascii="宋体" w:hAnsi="宋体" w:cs="宋体"/>
          <w:color w:val="auto"/>
          <w:highlight w:val="none"/>
          <w:u w:val="single"/>
        </w:rPr>
        <w:t xml:space="preserve">                                   </w:t>
      </w:r>
    </w:p>
    <w:p w14:paraId="1796DD13">
      <w:pPr>
        <w:pStyle w:val="6"/>
        <w:spacing w:line="480" w:lineRule="exact"/>
        <w:ind w:firstLine="0"/>
        <w:rPr>
          <w:rFonts w:ascii="宋体" w:hAnsi="宋体" w:cs="宋体"/>
          <w:color w:val="auto"/>
          <w:highlight w:val="none"/>
        </w:rPr>
      </w:pPr>
    </w:p>
    <w:p w14:paraId="00FB304E">
      <w:pPr>
        <w:pStyle w:val="6"/>
        <w:spacing w:line="480" w:lineRule="exact"/>
        <w:ind w:firstLine="0"/>
        <w:rPr>
          <w:rFonts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A6EE4C6">
      <w:pPr>
        <w:pStyle w:val="6"/>
        <w:spacing w:line="480" w:lineRule="exact"/>
        <w:ind w:firstLine="0"/>
        <w:rPr>
          <w:rFonts w:ascii="宋体" w:hAnsi="宋体" w:cs="宋体"/>
          <w:color w:val="auto"/>
          <w:highlight w:val="none"/>
        </w:rPr>
      </w:pPr>
    </w:p>
    <w:p w14:paraId="45BEF66B">
      <w:pPr>
        <w:pStyle w:val="6"/>
        <w:spacing w:line="480" w:lineRule="exact"/>
        <w:ind w:firstLine="0"/>
        <w:jc w:val="right"/>
        <w:rPr>
          <w:rFonts w:ascii="宋体" w:hAnsi="宋体" w:cs="宋体"/>
          <w:color w:val="auto"/>
          <w:highlight w:val="none"/>
        </w:rPr>
      </w:pPr>
    </w:p>
    <w:p w14:paraId="61A6626E">
      <w:pPr>
        <w:pStyle w:val="6"/>
        <w:spacing w:line="480" w:lineRule="exact"/>
        <w:ind w:firstLine="0"/>
        <w:jc w:val="right"/>
        <w:rPr>
          <w:rFonts w:ascii="宋体" w:hAnsi="宋体" w:cs="宋体"/>
          <w:color w:val="auto"/>
          <w:highlight w:val="none"/>
        </w:rPr>
      </w:pPr>
    </w:p>
    <w:p w14:paraId="7F1E89A0">
      <w:pPr>
        <w:ind w:firstLine="3120" w:firstLineChars="13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E655652">
      <w:pPr>
        <w:pStyle w:val="17"/>
        <w:rPr>
          <w:rFonts w:hint="eastAsia" w:ascii="宋体" w:hAnsi="宋体" w:cs="宋体"/>
          <w:color w:val="auto"/>
          <w:sz w:val="24"/>
          <w:szCs w:val="24"/>
          <w:highlight w:val="none"/>
        </w:rPr>
      </w:pPr>
    </w:p>
    <w:p w14:paraId="522F6831">
      <w:pPr>
        <w:rPr>
          <w:rFonts w:hint="eastAsia" w:ascii="宋体" w:hAnsi="宋体" w:cs="宋体"/>
          <w:color w:val="auto"/>
          <w:sz w:val="24"/>
          <w:szCs w:val="24"/>
          <w:highlight w:val="none"/>
        </w:rPr>
      </w:pPr>
    </w:p>
    <w:p w14:paraId="146FCBFA">
      <w:pPr>
        <w:rPr>
          <w:rFonts w:hint="eastAsia" w:ascii="宋体" w:hAnsi="宋体" w:cs="宋体"/>
          <w:color w:val="auto"/>
          <w:sz w:val="24"/>
          <w:szCs w:val="24"/>
          <w:highlight w:val="none"/>
        </w:rPr>
      </w:pPr>
    </w:p>
    <w:p w14:paraId="19A2A61D">
      <w:pPr>
        <w:pStyle w:val="16"/>
        <w:spacing w:line="225" w:lineRule="atLeast"/>
        <w:jc w:val="both"/>
        <w:rPr>
          <w:rFonts w:hint="eastAsia"/>
          <w:b/>
          <w:color w:val="auto"/>
          <w:sz w:val="28"/>
          <w:szCs w:val="28"/>
          <w:highlight w:val="none"/>
        </w:rPr>
      </w:pPr>
    </w:p>
    <w:p w14:paraId="4A4EF36A">
      <w:pPr>
        <w:pStyle w:val="16"/>
        <w:spacing w:line="225" w:lineRule="atLeast"/>
        <w:jc w:val="left"/>
        <w:rPr>
          <w:rFonts w:hint="eastAsia"/>
          <w:b/>
          <w:color w:val="auto"/>
          <w:highlight w:val="none"/>
        </w:rPr>
      </w:pPr>
      <w:r>
        <w:rPr>
          <w:rFonts w:hint="eastAsia"/>
          <w:b/>
          <w:color w:val="auto"/>
          <w:highlight w:val="none"/>
        </w:rPr>
        <w:t>附件</w:t>
      </w:r>
      <w:r>
        <w:rPr>
          <w:rFonts w:hint="eastAsia"/>
          <w:b/>
          <w:color w:val="auto"/>
          <w:highlight w:val="none"/>
          <w:lang w:val="en-US" w:eastAsia="zh-CN"/>
        </w:rPr>
        <w:t>八</w:t>
      </w:r>
      <w:r>
        <w:rPr>
          <w:rFonts w:hint="eastAsia"/>
          <w:b/>
          <w:color w:val="auto"/>
          <w:highlight w:val="none"/>
        </w:rPr>
        <w:t>：</w:t>
      </w:r>
    </w:p>
    <w:p w14:paraId="19D652B9">
      <w:pPr>
        <w:pStyle w:val="16"/>
        <w:spacing w:line="225" w:lineRule="atLeast"/>
        <w:jc w:val="center"/>
        <w:rPr>
          <w:rFonts w:hint="default" w:eastAsia="宋体"/>
          <w:b/>
          <w:color w:val="auto"/>
          <w:sz w:val="28"/>
          <w:szCs w:val="28"/>
          <w:highlight w:val="none"/>
          <w:lang w:val="en-US" w:eastAsia="zh-CN"/>
        </w:rPr>
      </w:pPr>
      <w:r>
        <w:rPr>
          <w:rFonts w:hint="eastAsia"/>
          <w:b/>
          <w:color w:val="auto"/>
          <w:sz w:val="32"/>
          <w:szCs w:val="32"/>
          <w:highlight w:val="none"/>
          <w:lang w:val="en-US" w:eastAsia="zh-CN"/>
        </w:rPr>
        <w:t>报价函附录</w:t>
      </w:r>
    </w:p>
    <w:tbl>
      <w:tblPr>
        <w:tblStyle w:val="19"/>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0"/>
        <w:gridCol w:w="1166"/>
        <w:gridCol w:w="980"/>
        <w:gridCol w:w="1020"/>
        <w:gridCol w:w="1634"/>
        <w:gridCol w:w="1550"/>
        <w:gridCol w:w="1524"/>
      </w:tblGrid>
      <w:tr w14:paraId="1460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35" w:type="dxa"/>
            <w:noWrap w:val="0"/>
            <w:vAlign w:val="center"/>
          </w:tcPr>
          <w:p w14:paraId="52ACE8CC">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序号</w:t>
            </w:r>
          </w:p>
        </w:tc>
        <w:tc>
          <w:tcPr>
            <w:tcW w:w="1290" w:type="dxa"/>
            <w:noWrap w:val="0"/>
            <w:vAlign w:val="center"/>
          </w:tcPr>
          <w:p w14:paraId="04FCC27F">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产品名称</w:t>
            </w:r>
          </w:p>
        </w:tc>
        <w:tc>
          <w:tcPr>
            <w:tcW w:w="1166" w:type="dxa"/>
            <w:shd w:val="clear" w:color="auto" w:fill="auto"/>
            <w:noWrap w:val="0"/>
            <w:vAlign w:val="center"/>
          </w:tcPr>
          <w:p w14:paraId="52C4D14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snapToGrid w:val="0"/>
                <w:color w:val="auto"/>
                <w:kern w:val="2"/>
                <w:sz w:val="24"/>
                <w:szCs w:val="24"/>
                <w:highlight w:val="none"/>
                <w:vertAlign w:val="baseline"/>
                <w:lang w:val="en-US" w:eastAsia="zh-CN" w:bidi="ar-SA"/>
              </w:rPr>
            </w:pPr>
            <w:r>
              <w:rPr>
                <w:rFonts w:hint="eastAsia" w:ascii="宋体" w:hAnsi="宋体" w:eastAsia="宋体" w:cs="宋体"/>
                <w:b/>
                <w:bCs/>
                <w:color w:val="auto"/>
                <w:kern w:val="0"/>
                <w:szCs w:val="21"/>
                <w:highlight w:val="none"/>
              </w:rPr>
              <w:t>技术要求</w:t>
            </w:r>
          </w:p>
        </w:tc>
        <w:tc>
          <w:tcPr>
            <w:tcW w:w="980" w:type="dxa"/>
            <w:noWrap w:val="0"/>
            <w:vAlign w:val="center"/>
          </w:tcPr>
          <w:p w14:paraId="17E7016A">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单位</w:t>
            </w:r>
          </w:p>
        </w:tc>
        <w:tc>
          <w:tcPr>
            <w:tcW w:w="1020" w:type="dxa"/>
            <w:noWrap w:val="0"/>
            <w:vAlign w:val="center"/>
          </w:tcPr>
          <w:p w14:paraId="79CE00FD">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数量</w:t>
            </w:r>
          </w:p>
        </w:tc>
        <w:tc>
          <w:tcPr>
            <w:tcW w:w="1634" w:type="dxa"/>
            <w:noWrap w:val="0"/>
            <w:vAlign w:val="center"/>
          </w:tcPr>
          <w:p w14:paraId="28519A5C">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全费用综合单价</w:t>
            </w:r>
          </w:p>
          <w:p w14:paraId="66C32621">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（元）</w:t>
            </w:r>
          </w:p>
        </w:tc>
        <w:tc>
          <w:tcPr>
            <w:tcW w:w="1550" w:type="dxa"/>
            <w:noWrap w:val="0"/>
            <w:vAlign w:val="center"/>
          </w:tcPr>
          <w:p w14:paraId="46A6A843">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合价（元）</w:t>
            </w:r>
          </w:p>
        </w:tc>
        <w:tc>
          <w:tcPr>
            <w:tcW w:w="1524" w:type="dxa"/>
            <w:noWrap w:val="0"/>
            <w:vAlign w:val="center"/>
          </w:tcPr>
          <w:p w14:paraId="6123C03B">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snapToGrid w:val="0"/>
                <w:color w:val="auto"/>
                <w:sz w:val="24"/>
                <w:szCs w:val="24"/>
                <w:highlight w:val="none"/>
                <w:vertAlign w:val="baseline"/>
                <w:lang w:val="en-US" w:eastAsia="zh-CN"/>
              </w:rPr>
            </w:pPr>
            <w:r>
              <w:rPr>
                <w:rFonts w:hint="eastAsia" w:ascii="宋体" w:hAnsi="宋体" w:eastAsia="宋体" w:cs="宋体"/>
                <w:b/>
                <w:snapToGrid w:val="0"/>
                <w:color w:val="auto"/>
                <w:sz w:val="24"/>
                <w:szCs w:val="24"/>
                <w:highlight w:val="none"/>
                <w:vertAlign w:val="baseline"/>
                <w:lang w:val="en-US" w:eastAsia="zh-CN"/>
              </w:rPr>
              <w:t>备注</w:t>
            </w:r>
          </w:p>
        </w:tc>
      </w:tr>
      <w:tr w14:paraId="42F4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35" w:type="dxa"/>
            <w:noWrap w:val="0"/>
            <w:vAlign w:val="center"/>
          </w:tcPr>
          <w:p w14:paraId="4E6307F9">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1</w:t>
            </w:r>
          </w:p>
        </w:tc>
        <w:tc>
          <w:tcPr>
            <w:tcW w:w="1290" w:type="dxa"/>
            <w:noWrap w:val="0"/>
            <w:vAlign w:val="center"/>
          </w:tcPr>
          <w:p w14:paraId="4AE0AC1D">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吸油毡</w:t>
            </w:r>
          </w:p>
          <w:p w14:paraId="2D8C243B">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166" w:type="dxa"/>
            <w:shd w:val="clear" w:color="auto" w:fill="auto"/>
            <w:noWrap w:val="0"/>
            <w:vAlign w:val="center"/>
          </w:tcPr>
          <w:p w14:paraId="63A399C1">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PP-1型号，5年有效期</w:t>
            </w:r>
          </w:p>
        </w:tc>
        <w:tc>
          <w:tcPr>
            <w:tcW w:w="980" w:type="dxa"/>
            <w:noWrap w:val="0"/>
            <w:vAlign w:val="center"/>
          </w:tcPr>
          <w:p w14:paraId="21FFCAB2">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20" w:type="dxa"/>
            <w:noWrap w:val="0"/>
            <w:vAlign w:val="center"/>
          </w:tcPr>
          <w:p w14:paraId="501C9629">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1</w:t>
            </w:r>
          </w:p>
        </w:tc>
        <w:tc>
          <w:tcPr>
            <w:tcW w:w="1634" w:type="dxa"/>
            <w:noWrap w:val="0"/>
            <w:vAlign w:val="center"/>
          </w:tcPr>
          <w:p w14:paraId="61915AEA">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50" w:type="dxa"/>
            <w:noWrap w:val="0"/>
            <w:vAlign w:val="center"/>
          </w:tcPr>
          <w:p w14:paraId="4B04425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24" w:type="dxa"/>
            <w:vMerge w:val="restart"/>
            <w:noWrap w:val="0"/>
            <w:vAlign w:val="center"/>
          </w:tcPr>
          <w:p w14:paraId="0B28ED7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购买</w:t>
            </w:r>
          </w:p>
          <w:p w14:paraId="741128D1">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r>
      <w:tr w14:paraId="3877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35" w:type="dxa"/>
            <w:noWrap w:val="0"/>
            <w:vAlign w:val="center"/>
          </w:tcPr>
          <w:p w14:paraId="74D77CD8">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2</w:t>
            </w:r>
          </w:p>
        </w:tc>
        <w:tc>
          <w:tcPr>
            <w:tcW w:w="1290" w:type="dxa"/>
            <w:noWrap w:val="0"/>
            <w:vAlign w:val="center"/>
          </w:tcPr>
          <w:p w14:paraId="5E2094DA">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液态有机化学品吸收剂</w:t>
            </w:r>
          </w:p>
          <w:p w14:paraId="7C4CDD22">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166" w:type="dxa"/>
            <w:shd w:val="clear" w:color="auto" w:fill="auto"/>
            <w:noWrap w:val="0"/>
            <w:vAlign w:val="center"/>
          </w:tcPr>
          <w:p w14:paraId="6F88CAC1">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主要吸收苯类、酯类、油类，有效期5年</w:t>
            </w:r>
          </w:p>
        </w:tc>
        <w:tc>
          <w:tcPr>
            <w:tcW w:w="980" w:type="dxa"/>
            <w:noWrap w:val="0"/>
            <w:vAlign w:val="center"/>
          </w:tcPr>
          <w:p w14:paraId="340DB931">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20" w:type="dxa"/>
            <w:noWrap w:val="0"/>
            <w:vAlign w:val="center"/>
          </w:tcPr>
          <w:p w14:paraId="76A48BEE">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1</w:t>
            </w:r>
          </w:p>
        </w:tc>
        <w:tc>
          <w:tcPr>
            <w:tcW w:w="1634" w:type="dxa"/>
            <w:noWrap w:val="0"/>
            <w:vAlign w:val="center"/>
          </w:tcPr>
          <w:p w14:paraId="5340962D">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50" w:type="dxa"/>
            <w:noWrap w:val="0"/>
            <w:vAlign w:val="center"/>
          </w:tcPr>
          <w:p w14:paraId="0F3154D2">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24" w:type="dxa"/>
            <w:vMerge w:val="continue"/>
            <w:noWrap w:val="0"/>
            <w:vAlign w:val="center"/>
          </w:tcPr>
          <w:p w14:paraId="792C9FAB">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r>
      <w:tr w14:paraId="73A4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35" w:type="dxa"/>
            <w:noWrap w:val="0"/>
            <w:vAlign w:val="center"/>
          </w:tcPr>
          <w:p w14:paraId="289AA38F">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290" w:type="dxa"/>
            <w:noWrap w:val="0"/>
            <w:vAlign w:val="center"/>
          </w:tcPr>
          <w:p w14:paraId="5CBD1616">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吸油毡</w:t>
            </w:r>
          </w:p>
          <w:p w14:paraId="2D3D47FC">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p>
        </w:tc>
        <w:tc>
          <w:tcPr>
            <w:tcW w:w="1166" w:type="dxa"/>
            <w:noWrap w:val="0"/>
            <w:vAlign w:val="center"/>
          </w:tcPr>
          <w:p w14:paraId="405394C9">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980" w:type="dxa"/>
            <w:noWrap w:val="0"/>
            <w:vAlign w:val="center"/>
          </w:tcPr>
          <w:p w14:paraId="32E4719D">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20" w:type="dxa"/>
            <w:noWrap w:val="0"/>
            <w:vAlign w:val="center"/>
          </w:tcPr>
          <w:p w14:paraId="438FA4F2">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1</w:t>
            </w:r>
          </w:p>
        </w:tc>
        <w:tc>
          <w:tcPr>
            <w:tcW w:w="1634" w:type="dxa"/>
            <w:noWrap w:val="0"/>
            <w:vAlign w:val="center"/>
          </w:tcPr>
          <w:p w14:paraId="1F812BED">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50" w:type="dxa"/>
            <w:noWrap w:val="0"/>
            <w:vAlign w:val="center"/>
          </w:tcPr>
          <w:p w14:paraId="1D7B8FD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24" w:type="dxa"/>
            <w:vMerge w:val="restart"/>
            <w:noWrap w:val="0"/>
            <w:vAlign w:val="center"/>
          </w:tcPr>
          <w:p w14:paraId="3DBD76EB">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临近有效期物资，运走、处置</w:t>
            </w:r>
          </w:p>
          <w:p w14:paraId="08807AC8">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r>
      <w:tr w14:paraId="272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35" w:type="dxa"/>
            <w:noWrap w:val="0"/>
            <w:vAlign w:val="center"/>
          </w:tcPr>
          <w:p w14:paraId="510CFEE2">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290" w:type="dxa"/>
            <w:noWrap w:val="0"/>
            <w:vAlign w:val="center"/>
          </w:tcPr>
          <w:p w14:paraId="18C66A43">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液态有机化学品吸收剂</w:t>
            </w:r>
          </w:p>
          <w:p w14:paraId="1290167D">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p>
        </w:tc>
        <w:tc>
          <w:tcPr>
            <w:tcW w:w="1166" w:type="dxa"/>
            <w:noWrap w:val="0"/>
            <w:vAlign w:val="center"/>
          </w:tcPr>
          <w:p w14:paraId="599248F9">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980" w:type="dxa"/>
            <w:noWrap w:val="0"/>
            <w:vAlign w:val="center"/>
          </w:tcPr>
          <w:p w14:paraId="519F73D8">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吨</w:t>
            </w:r>
          </w:p>
        </w:tc>
        <w:tc>
          <w:tcPr>
            <w:tcW w:w="1020" w:type="dxa"/>
            <w:noWrap w:val="0"/>
            <w:vAlign w:val="center"/>
          </w:tcPr>
          <w:p w14:paraId="0CB63844">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kern w:val="2"/>
                <w:sz w:val="24"/>
                <w:szCs w:val="24"/>
                <w:highlight w:val="none"/>
                <w:vertAlign w:val="baseline"/>
                <w:lang w:val="en-US" w:eastAsia="zh-CN" w:bidi="ar-SA"/>
              </w:rPr>
            </w:pPr>
            <w:r>
              <w:rPr>
                <w:rFonts w:hint="eastAsia" w:ascii="宋体" w:hAnsi="宋体" w:eastAsia="宋体" w:cs="宋体"/>
                <w:b w:val="0"/>
                <w:bCs/>
                <w:snapToGrid w:val="0"/>
                <w:color w:val="auto"/>
                <w:sz w:val="24"/>
                <w:szCs w:val="24"/>
                <w:highlight w:val="none"/>
                <w:vertAlign w:val="baseline"/>
                <w:lang w:val="en-US" w:eastAsia="zh-CN"/>
              </w:rPr>
              <w:t>1</w:t>
            </w:r>
          </w:p>
        </w:tc>
        <w:tc>
          <w:tcPr>
            <w:tcW w:w="1634" w:type="dxa"/>
            <w:noWrap w:val="0"/>
            <w:vAlign w:val="center"/>
          </w:tcPr>
          <w:p w14:paraId="4F48CFDD">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50" w:type="dxa"/>
            <w:noWrap w:val="0"/>
            <w:vAlign w:val="center"/>
          </w:tcPr>
          <w:p w14:paraId="1B6634CA">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c>
          <w:tcPr>
            <w:tcW w:w="1524" w:type="dxa"/>
            <w:vMerge w:val="continue"/>
            <w:noWrap w:val="0"/>
            <w:vAlign w:val="center"/>
          </w:tcPr>
          <w:p w14:paraId="693A7116">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宋体" w:hAnsi="宋体" w:eastAsia="宋体" w:cs="宋体"/>
                <w:b w:val="0"/>
                <w:bCs/>
                <w:snapToGrid w:val="0"/>
                <w:color w:val="auto"/>
                <w:sz w:val="24"/>
                <w:szCs w:val="24"/>
                <w:highlight w:val="none"/>
                <w:vertAlign w:val="baseline"/>
                <w:lang w:val="en-US" w:eastAsia="zh-CN"/>
              </w:rPr>
            </w:pPr>
          </w:p>
        </w:tc>
      </w:tr>
      <w:tr w14:paraId="762C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25" w:type="dxa"/>
            <w:gridSpan w:val="6"/>
            <w:noWrap w:val="0"/>
            <w:vAlign w:val="center"/>
          </w:tcPr>
          <w:p w14:paraId="131AE7AD">
            <w:pPr>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楷体" w:hAnsi="楷体" w:eastAsia="楷体" w:cs="楷体"/>
                <w:b w:val="0"/>
                <w:bCs/>
                <w:snapToGrid w:val="0"/>
                <w:color w:val="auto"/>
                <w:sz w:val="24"/>
                <w:szCs w:val="24"/>
                <w:highlight w:val="none"/>
                <w:vertAlign w:val="baseline"/>
                <w:lang w:val="en-US" w:eastAsia="zh-CN"/>
              </w:rPr>
            </w:pPr>
            <w:r>
              <w:rPr>
                <w:rFonts w:hint="eastAsia" w:ascii="宋体" w:hAnsi="宋体" w:eastAsia="宋体" w:cs="宋体"/>
                <w:b w:val="0"/>
                <w:bCs/>
                <w:snapToGrid w:val="0"/>
                <w:color w:val="auto"/>
                <w:sz w:val="24"/>
                <w:szCs w:val="24"/>
                <w:highlight w:val="none"/>
                <w:vertAlign w:val="baseline"/>
                <w:lang w:val="en-US" w:eastAsia="zh-CN"/>
              </w:rPr>
              <w:t>合计</w:t>
            </w:r>
          </w:p>
        </w:tc>
        <w:tc>
          <w:tcPr>
            <w:tcW w:w="1550" w:type="dxa"/>
            <w:noWrap w:val="0"/>
            <w:vAlign w:val="center"/>
          </w:tcPr>
          <w:p w14:paraId="6642435E">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ascii="楷体" w:hAnsi="楷体" w:eastAsia="楷体" w:cs="楷体"/>
                <w:b w:val="0"/>
                <w:bCs/>
                <w:snapToGrid w:val="0"/>
                <w:color w:val="auto"/>
                <w:sz w:val="24"/>
                <w:szCs w:val="24"/>
                <w:highlight w:val="none"/>
                <w:vertAlign w:val="baseline"/>
                <w:lang w:val="en-US" w:eastAsia="zh-CN"/>
              </w:rPr>
            </w:pPr>
          </w:p>
        </w:tc>
        <w:tc>
          <w:tcPr>
            <w:tcW w:w="1524" w:type="dxa"/>
            <w:noWrap w:val="0"/>
            <w:vAlign w:val="center"/>
          </w:tcPr>
          <w:p w14:paraId="41B69BF4">
            <w:pPr>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default" w:ascii="楷体" w:hAnsi="楷体" w:eastAsia="楷体" w:cs="楷体"/>
                <w:b w:val="0"/>
                <w:bCs/>
                <w:snapToGrid w:val="0"/>
                <w:color w:val="auto"/>
                <w:sz w:val="24"/>
                <w:szCs w:val="24"/>
                <w:highlight w:val="none"/>
                <w:vertAlign w:val="baseline"/>
                <w:lang w:val="en-US" w:eastAsia="zh-CN"/>
              </w:rPr>
            </w:pPr>
          </w:p>
        </w:tc>
      </w:tr>
    </w:tbl>
    <w:p w14:paraId="41CAC2A0">
      <w:pPr>
        <w:keepNext w:val="0"/>
        <w:keepLines w:val="0"/>
        <w:pageBreakBefore w:val="0"/>
        <w:widowControl/>
        <w:numPr>
          <w:ilvl w:val="0"/>
          <w:numId w:val="0"/>
        </w:numPr>
        <w:kinsoku/>
        <w:wordWrap/>
        <w:overflowPunct/>
        <w:topLinePunct w:val="0"/>
        <w:bidi w:val="0"/>
        <w:adjustRightInd w:val="0"/>
        <w:snapToGrid w:val="0"/>
        <w:spacing w:line="420" w:lineRule="exact"/>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w:t>
      </w:r>
    </w:p>
    <w:p w14:paraId="5081416A">
      <w:pPr>
        <w:keepNext w:val="0"/>
        <w:keepLines w:val="0"/>
        <w:pageBreakBefore w:val="0"/>
        <w:widowControl/>
        <w:numPr>
          <w:ilvl w:val="0"/>
          <w:numId w:val="3"/>
        </w:numPr>
        <w:kinsoku/>
        <w:wordWrap/>
        <w:overflowPunct/>
        <w:topLinePunct w:val="0"/>
        <w:bidi w:val="0"/>
        <w:adjustRightInd w:val="0"/>
        <w:snapToGrid w:val="0"/>
        <w:spacing w:line="420" w:lineRule="exact"/>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以上价款包含包括询价文件要求中的供货、运杂费（包括卸货、二次搬运）费、包装费、保险费、</w:t>
      </w:r>
      <w:r>
        <w:rPr>
          <w:rFonts w:hint="eastAsia" w:ascii="宋体" w:hAnsi="宋体" w:cs="宋体"/>
          <w:b/>
          <w:bCs/>
          <w:color w:val="auto"/>
          <w:sz w:val="22"/>
          <w:szCs w:val="22"/>
          <w:highlight w:val="none"/>
          <w:lang w:val="en-US" w:eastAsia="zh-CN"/>
        </w:rPr>
        <w:t>处置费、评标专家费、利润、税金</w:t>
      </w:r>
      <w:r>
        <w:rPr>
          <w:rFonts w:hint="eastAsia" w:ascii="宋体" w:hAnsi="宋体" w:eastAsia="宋体" w:cs="宋体"/>
          <w:b/>
          <w:bCs/>
          <w:color w:val="auto"/>
          <w:sz w:val="22"/>
          <w:szCs w:val="22"/>
          <w:highlight w:val="none"/>
          <w:lang w:val="en-US" w:eastAsia="zh-CN"/>
        </w:rPr>
        <w:t>以及国家规定的各项费用等一切费用。</w:t>
      </w:r>
    </w:p>
    <w:p w14:paraId="2ECCC6BF">
      <w:pPr>
        <w:keepNext w:val="0"/>
        <w:keepLines w:val="0"/>
        <w:pageBreakBefore w:val="0"/>
        <w:widowControl/>
        <w:numPr>
          <w:ilvl w:val="0"/>
          <w:numId w:val="3"/>
        </w:numPr>
        <w:kinsoku/>
        <w:wordWrap/>
        <w:overflowPunct/>
        <w:topLinePunct w:val="0"/>
        <w:bidi w:val="0"/>
        <w:adjustRightInd w:val="0"/>
        <w:snapToGrid w:val="0"/>
        <w:spacing w:line="420" w:lineRule="exact"/>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投标报价应综合考虑本项目特点和工作的难易程度等因素，在合同实施期间不因任何原因进行调整。</w:t>
      </w:r>
    </w:p>
    <w:p w14:paraId="2E92053A">
      <w:pPr>
        <w:keepNext w:val="0"/>
        <w:keepLines w:val="0"/>
        <w:pageBreakBefore w:val="0"/>
        <w:widowControl/>
        <w:numPr>
          <w:ilvl w:val="0"/>
          <w:numId w:val="3"/>
        </w:numPr>
        <w:kinsoku/>
        <w:wordWrap/>
        <w:overflowPunct/>
        <w:topLinePunct w:val="0"/>
        <w:bidi w:val="0"/>
        <w:adjustRightInd w:val="0"/>
        <w:snapToGrid w:val="0"/>
        <w:spacing w:line="420" w:lineRule="exact"/>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供应商应详细阅读询价文件的全部内容，根据招标项目需求，必须对本招标项目全部进行报价，如有漏项，视同对本项目的优惠。不按询价文件的要求提供投标文件，导致报价无效，作无效标处理。投标报价超出</w:t>
      </w:r>
      <w:r>
        <w:rPr>
          <w:rFonts w:hint="eastAsia" w:ascii="宋体" w:hAnsi="宋体" w:cs="宋体"/>
          <w:b/>
          <w:bCs/>
          <w:color w:val="auto"/>
          <w:sz w:val="22"/>
          <w:szCs w:val="22"/>
          <w:highlight w:val="none"/>
          <w:lang w:val="en-US" w:eastAsia="zh-CN"/>
        </w:rPr>
        <w:t>（含等于）</w:t>
      </w:r>
      <w:r>
        <w:rPr>
          <w:rFonts w:hint="eastAsia" w:ascii="宋体" w:hAnsi="宋体" w:eastAsia="宋体" w:cs="宋体"/>
          <w:b/>
          <w:bCs/>
          <w:color w:val="auto"/>
          <w:sz w:val="22"/>
          <w:szCs w:val="22"/>
          <w:highlight w:val="none"/>
          <w:lang w:val="en-US" w:eastAsia="zh-CN"/>
        </w:rPr>
        <w:t>招标文件项目预算价的，视为无效投标文件不予参加评标。</w:t>
      </w:r>
    </w:p>
    <w:p w14:paraId="03B5DC38">
      <w:pPr>
        <w:kinsoku w:val="0"/>
        <w:topLinePunct/>
        <w:snapToGrid w:val="0"/>
        <w:spacing w:line="520" w:lineRule="exact"/>
        <w:ind w:firstLine="3840" w:firstLineChars="1600"/>
        <w:rPr>
          <w:rFonts w:hint="eastAsia" w:ascii="宋体" w:hAnsi="宋体" w:cs="宋体"/>
          <w:color w:val="auto"/>
          <w:sz w:val="24"/>
          <w:highlight w:val="none"/>
        </w:rPr>
      </w:pPr>
    </w:p>
    <w:p w14:paraId="5DCD9D58">
      <w:pPr>
        <w:kinsoku w:val="0"/>
        <w:topLinePunct/>
        <w:snapToGrid w:val="0"/>
        <w:spacing w:line="520" w:lineRule="exact"/>
        <w:ind w:firstLine="3840" w:firstLineChars="1600"/>
        <w:rPr>
          <w:rFonts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：（盖章）             </w:t>
      </w:r>
    </w:p>
    <w:p w14:paraId="0C29CA05">
      <w:pPr>
        <w:kinsoku w:val="0"/>
        <w:topLinePunct/>
        <w:snapToGrid w:val="0"/>
        <w:spacing w:line="520" w:lineRule="exact"/>
        <w:ind w:firstLine="3840" w:firstLineChars="1600"/>
        <w:rPr>
          <w:rFonts w:ascii="宋体" w:hAnsi="宋体" w:cs="宋体"/>
          <w:color w:val="auto"/>
          <w:sz w:val="24"/>
          <w:highlight w:val="none"/>
        </w:rPr>
      </w:pPr>
      <w:r>
        <w:rPr>
          <w:rFonts w:hint="eastAsia" w:ascii="宋体" w:hAnsi="宋体" w:cs="宋体"/>
          <w:color w:val="auto"/>
          <w:sz w:val="24"/>
          <w:highlight w:val="none"/>
        </w:rPr>
        <w:t>法定代表人或被授权人（签字）：</w:t>
      </w:r>
    </w:p>
    <w:p w14:paraId="146E49F6">
      <w:pPr>
        <w:kinsoku w:val="0"/>
        <w:topLinePunct/>
        <w:snapToGrid w:val="0"/>
        <w:spacing w:line="520" w:lineRule="exact"/>
        <w:ind w:firstLine="3840" w:firstLineChars="1600"/>
        <w:rPr>
          <w:color w:val="auto"/>
          <w:highlight w:val="none"/>
        </w:rPr>
      </w:pPr>
      <w:r>
        <w:rPr>
          <w:rFonts w:hint="eastAsia" w:ascii="宋体" w:hAnsi="宋体" w:cs="宋体"/>
          <w:color w:val="auto"/>
          <w:sz w:val="24"/>
          <w:highlight w:val="none"/>
        </w:rPr>
        <w:t>日  期：</w:t>
      </w:r>
    </w:p>
    <w:p w14:paraId="124570DF">
      <w:pPr>
        <w:ind w:firstLine="570"/>
        <w:jc w:val="center"/>
        <w:rPr>
          <w:rFonts w:ascii="宋体" w:hAnsi="宋体"/>
          <w:b/>
          <w:color w:val="auto"/>
          <w:sz w:val="32"/>
          <w:szCs w:val="32"/>
          <w:highlight w:val="none"/>
        </w:rPr>
      </w:pPr>
    </w:p>
    <w:p w14:paraId="4C47ECC7">
      <w:pPr>
        <w:pStyle w:val="16"/>
        <w:spacing w:line="225" w:lineRule="atLeast"/>
        <w:jc w:val="both"/>
        <w:rPr>
          <w:rFonts w:hint="eastAsia"/>
          <w:b/>
          <w:bCs/>
          <w:color w:val="auto"/>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九</w:t>
      </w:r>
      <w:r>
        <w:rPr>
          <w:rFonts w:hint="eastAsia"/>
          <w:b/>
          <w:bCs/>
          <w:color w:val="auto"/>
          <w:sz w:val="28"/>
          <w:szCs w:val="28"/>
          <w:highlight w:val="none"/>
        </w:rPr>
        <w:t>：</w:t>
      </w:r>
    </w:p>
    <w:p w14:paraId="33FCDD6E">
      <w:pPr>
        <w:pStyle w:val="16"/>
        <w:spacing w:line="225" w:lineRule="atLeast"/>
        <w:jc w:val="center"/>
        <w:rPr>
          <w:rFonts w:hint="eastAsia"/>
          <w:b/>
          <w:bCs/>
          <w:color w:val="auto"/>
          <w:sz w:val="28"/>
          <w:szCs w:val="28"/>
          <w:highlight w:val="none"/>
        </w:rPr>
      </w:pPr>
      <w:r>
        <w:rPr>
          <w:rFonts w:hint="eastAsia"/>
          <w:b/>
          <w:bCs/>
          <w:color w:val="auto"/>
          <w:sz w:val="28"/>
          <w:szCs w:val="28"/>
          <w:highlight w:val="none"/>
        </w:rPr>
        <w:t>技术规格偏离表</w:t>
      </w:r>
    </w:p>
    <w:p w14:paraId="474768D7">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25" w:lineRule="atLeast"/>
        <w:textAlignment w:val="auto"/>
        <w:rPr>
          <w:rFonts w:hint="default"/>
          <w:b/>
          <w:bCs/>
          <w:color w:val="auto"/>
          <w:sz w:val="28"/>
          <w:szCs w:val="28"/>
          <w:highlight w:val="none"/>
          <w:lang w:val="en-US"/>
        </w:rPr>
      </w:pPr>
      <w:r>
        <w:rPr>
          <w:rFonts w:hint="eastAsia"/>
          <w:b/>
          <w:bCs/>
          <w:color w:val="auto"/>
          <w:sz w:val="24"/>
          <w:szCs w:val="24"/>
          <w:highlight w:val="none"/>
        </w:rPr>
        <w:t>项目名称：</w:t>
      </w:r>
      <w:r>
        <w:rPr>
          <w:rFonts w:hint="eastAsia" w:cs="Times New Roman"/>
          <w:b/>
          <w:bCs/>
          <w:color w:val="auto"/>
          <w:sz w:val="24"/>
          <w:szCs w:val="24"/>
          <w:highlight w:val="none"/>
          <w:u w:val="none"/>
          <w:lang w:val="en-US" w:eastAsia="zh-CN"/>
        </w:rPr>
        <w:t>如东县阳光岛应急仓库应急物资采购项目</w:t>
      </w:r>
    </w:p>
    <w:tbl>
      <w:tblPr>
        <w:tblStyle w:val="18"/>
        <w:tblpPr w:leftFromText="180" w:rightFromText="180" w:vertAnchor="text" w:horzAnchor="page" w:tblpX="895" w:tblpY="149"/>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551"/>
        <w:gridCol w:w="2310"/>
        <w:gridCol w:w="2580"/>
        <w:gridCol w:w="1575"/>
      </w:tblGrid>
      <w:tr w14:paraId="4B69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34" w:type="dxa"/>
            <w:noWrap w:val="0"/>
            <w:vAlign w:val="center"/>
          </w:tcPr>
          <w:p w14:paraId="5347565A">
            <w:pPr>
              <w:pStyle w:val="10"/>
              <w:spacing w:before="120" w:beforeLines="50" w:line="360" w:lineRule="auto"/>
              <w:jc w:val="center"/>
              <w:rPr>
                <w:rFonts w:hint="eastAsia" w:hAnsi="宋体"/>
                <w:b/>
                <w:bCs/>
                <w:color w:val="auto"/>
                <w:szCs w:val="21"/>
                <w:highlight w:val="none"/>
              </w:rPr>
            </w:pPr>
            <w:r>
              <w:rPr>
                <w:rFonts w:hint="eastAsia" w:hAnsi="宋体"/>
                <w:b/>
                <w:bCs/>
                <w:color w:val="auto"/>
                <w:szCs w:val="21"/>
                <w:highlight w:val="none"/>
              </w:rPr>
              <w:t>序号</w:t>
            </w:r>
          </w:p>
        </w:tc>
        <w:tc>
          <w:tcPr>
            <w:tcW w:w="2551" w:type="dxa"/>
            <w:noWrap w:val="0"/>
            <w:vAlign w:val="center"/>
          </w:tcPr>
          <w:p w14:paraId="797985F8">
            <w:pPr>
              <w:pStyle w:val="10"/>
              <w:spacing w:before="120" w:beforeLines="50" w:line="360" w:lineRule="auto"/>
              <w:jc w:val="center"/>
              <w:rPr>
                <w:rFonts w:hint="eastAsia" w:hAnsi="宋体"/>
                <w:b/>
                <w:bCs/>
                <w:color w:val="auto"/>
                <w:szCs w:val="21"/>
                <w:highlight w:val="none"/>
              </w:rPr>
            </w:pPr>
            <w:r>
              <w:rPr>
                <w:rFonts w:hint="eastAsia" w:hAnsi="宋体"/>
                <w:b/>
                <w:bCs/>
                <w:color w:val="auto"/>
                <w:szCs w:val="21"/>
                <w:highlight w:val="none"/>
              </w:rPr>
              <w:t>产品名称</w:t>
            </w:r>
          </w:p>
        </w:tc>
        <w:tc>
          <w:tcPr>
            <w:tcW w:w="2310" w:type="dxa"/>
            <w:noWrap w:val="0"/>
            <w:vAlign w:val="center"/>
          </w:tcPr>
          <w:p w14:paraId="4E302E47">
            <w:pPr>
              <w:pStyle w:val="10"/>
              <w:spacing w:before="120" w:beforeLines="50" w:line="360" w:lineRule="auto"/>
              <w:jc w:val="center"/>
              <w:rPr>
                <w:rFonts w:hint="eastAsia" w:hAnsi="宋体"/>
                <w:b/>
                <w:bCs/>
                <w:color w:val="auto"/>
                <w:szCs w:val="21"/>
                <w:highlight w:val="none"/>
              </w:rPr>
            </w:pPr>
            <w:r>
              <w:rPr>
                <w:rFonts w:hint="eastAsia" w:hAnsi="宋体"/>
                <w:b/>
                <w:bCs/>
                <w:color w:val="auto"/>
                <w:szCs w:val="21"/>
                <w:highlight w:val="none"/>
              </w:rPr>
              <w:t>采购参数要求</w:t>
            </w:r>
          </w:p>
        </w:tc>
        <w:tc>
          <w:tcPr>
            <w:tcW w:w="2580" w:type="dxa"/>
            <w:noWrap w:val="0"/>
            <w:vAlign w:val="center"/>
          </w:tcPr>
          <w:p w14:paraId="4E9F4A1E">
            <w:pPr>
              <w:pStyle w:val="10"/>
              <w:spacing w:before="120" w:beforeLines="50" w:line="360" w:lineRule="auto"/>
              <w:jc w:val="center"/>
              <w:rPr>
                <w:rFonts w:hint="eastAsia" w:hAnsi="宋体"/>
                <w:b/>
                <w:bCs/>
                <w:color w:val="auto"/>
                <w:szCs w:val="21"/>
                <w:highlight w:val="none"/>
              </w:rPr>
            </w:pPr>
            <w:r>
              <w:rPr>
                <w:rFonts w:hint="eastAsia" w:hAnsi="宋体"/>
                <w:b/>
                <w:bCs/>
                <w:color w:val="auto"/>
                <w:szCs w:val="21"/>
                <w:highlight w:val="none"/>
              </w:rPr>
              <w:t>投标产品参数</w:t>
            </w:r>
          </w:p>
        </w:tc>
        <w:tc>
          <w:tcPr>
            <w:tcW w:w="1575" w:type="dxa"/>
            <w:noWrap w:val="0"/>
            <w:vAlign w:val="center"/>
          </w:tcPr>
          <w:p w14:paraId="19954196">
            <w:pPr>
              <w:pStyle w:val="10"/>
              <w:spacing w:before="120" w:beforeLines="50"/>
              <w:jc w:val="center"/>
              <w:rPr>
                <w:rFonts w:hint="eastAsia" w:hAnsi="宋体"/>
                <w:b/>
                <w:bCs/>
                <w:color w:val="auto"/>
                <w:szCs w:val="21"/>
                <w:highlight w:val="none"/>
              </w:rPr>
            </w:pPr>
            <w:r>
              <w:rPr>
                <w:rFonts w:hint="eastAsia" w:hAnsi="宋体"/>
                <w:b/>
                <w:bCs/>
                <w:color w:val="auto"/>
                <w:szCs w:val="21"/>
                <w:highlight w:val="none"/>
              </w:rPr>
              <w:t>偏离</w:t>
            </w:r>
          </w:p>
          <w:p w14:paraId="241EBC41">
            <w:pPr>
              <w:pStyle w:val="10"/>
              <w:spacing w:before="120" w:beforeLines="50"/>
              <w:jc w:val="center"/>
              <w:rPr>
                <w:rFonts w:hint="eastAsia" w:hAnsi="宋体"/>
                <w:b/>
                <w:bCs/>
                <w:color w:val="auto"/>
                <w:szCs w:val="21"/>
                <w:highlight w:val="none"/>
              </w:rPr>
            </w:pPr>
            <w:r>
              <w:rPr>
                <w:rFonts w:hint="eastAsia" w:hAnsi="宋体"/>
                <w:b/>
                <w:bCs/>
                <w:color w:val="auto"/>
                <w:szCs w:val="21"/>
                <w:highlight w:val="none"/>
              </w:rPr>
              <w:t>情况</w:t>
            </w:r>
          </w:p>
        </w:tc>
      </w:tr>
      <w:tr w14:paraId="679E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4" w:type="dxa"/>
            <w:noWrap w:val="0"/>
            <w:vAlign w:val="center"/>
          </w:tcPr>
          <w:p w14:paraId="71B6D5E2">
            <w:pPr>
              <w:pStyle w:val="10"/>
              <w:spacing w:before="120" w:beforeLines="50" w:line="360" w:lineRule="auto"/>
              <w:jc w:val="center"/>
              <w:rPr>
                <w:rFonts w:hint="eastAsia" w:hAnsi="宋体"/>
                <w:b/>
                <w:bCs/>
                <w:color w:val="auto"/>
                <w:szCs w:val="21"/>
                <w:highlight w:val="none"/>
              </w:rPr>
            </w:pPr>
          </w:p>
        </w:tc>
        <w:tc>
          <w:tcPr>
            <w:tcW w:w="2551" w:type="dxa"/>
            <w:noWrap w:val="0"/>
            <w:vAlign w:val="center"/>
          </w:tcPr>
          <w:p w14:paraId="3A6603B5">
            <w:pPr>
              <w:pStyle w:val="10"/>
              <w:spacing w:before="120" w:beforeLines="50" w:line="360" w:lineRule="auto"/>
              <w:jc w:val="center"/>
              <w:rPr>
                <w:rFonts w:hint="eastAsia" w:hAnsi="宋体"/>
                <w:b/>
                <w:bCs/>
                <w:color w:val="auto"/>
                <w:szCs w:val="21"/>
                <w:highlight w:val="none"/>
              </w:rPr>
            </w:pPr>
          </w:p>
        </w:tc>
        <w:tc>
          <w:tcPr>
            <w:tcW w:w="2310" w:type="dxa"/>
            <w:noWrap w:val="0"/>
            <w:vAlign w:val="center"/>
          </w:tcPr>
          <w:p w14:paraId="0F7D93A7">
            <w:pPr>
              <w:jc w:val="left"/>
              <w:rPr>
                <w:rFonts w:hint="default" w:ascii="宋体" w:hAnsi="宋体" w:eastAsia="宋体"/>
                <w:color w:val="auto"/>
                <w:sz w:val="24"/>
                <w:szCs w:val="24"/>
                <w:highlight w:val="none"/>
                <w:lang w:val="en-US" w:eastAsia="zh-CN"/>
              </w:rPr>
            </w:pPr>
          </w:p>
        </w:tc>
        <w:tc>
          <w:tcPr>
            <w:tcW w:w="2580" w:type="dxa"/>
            <w:noWrap w:val="0"/>
            <w:vAlign w:val="top"/>
          </w:tcPr>
          <w:p w14:paraId="1CA348E4">
            <w:pPr>
              <w:jc w:val="left"/>
              <w:rPr>
                <w:rFonts w:hint="eastAsia" w:ascii="宋体" w:hAnsi="宋体"/>
                <w:color w:val="auto"/>
                <w:szCs w:val="21"/>
                <w:highlight w:val="none"/>
              </w:rPr>
            </w:pPr>
          </w:p>
        </w:tc>
        <w:tc>
          <w:tcPr>
            <w:tcW w:w="1575" w:type="dxa"/>
            <w:noWrap w:val="0"/>
            <w:vAlign w:val="top"/>
          </w:tcPr>
          <w:p w14:paraId="16A09756">
            <w:pPr>
              <w:rPr>
                <w:rFonts w:hint="eastAsia" w:ascii="宋体" w:hAnsi="宋体"/>
                <w:color w:val="auto"/>
                <w:szCs w:val="21"/>
                <w:highlight w:val="none"/>
              </w:rPr>
            </w:pPr>
          </w:p>
        </w:tc>
      </w:tr>
      <w:tr w14:paraId="5FC3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4" w:type="dxa"/>
            <w:noWrap w:val="0"/>
            <w:vAlign w:val="center"/>
          </w:tcPr>
          <w:p w14:paraId="03301EF0">
            <w:pPr>
              <w:pStyle w:val="10"/>
              <w:spacing w:before="120" w:beforeLines="50" w:line="360" w:lineRule="auto"/>
              <w:jc w:val="center"/>
              <w:rPr>
                <w:rFonts w:hint="eastAsia" w:hAnsi="宋体"/>
                <w:b/>
                <w:bCs/>
                <w:color w:val="auto"/>
                <w:szCs w:val="21"/>
                <w:highlight w:val="none"/>
              </w:rPr>
            </w:pPr>
          </w:p>
        </w:tc>
        <w:tc>
          <w:tcPr>
            <w:tcW w:w="2551" w:type="dxa"/>
            <w:noWrap w:val="0"/>
            <w:vAlign w:val="center"/>
          </w:tcPr>
          <w:p w14:paraId="1E0B97F5">
            <w:pPr>
              <w:pStyle w:val="10"/>
              <w:spacing w:before="120" w:beforeLines="50" w:line="360" w:lineRule="auto"/>
              <w:jc w:val="center"/>
              <w:rPr>
                <w:rFonts w:hint="eastAsia" w:ascii="宋体" w:eastAsia="宋体" w:cs="Times New Roman"/>
                <w:b w:val="0"/>
                <w:bCs w:val="0"/>
                <w:color w:val="auto"/>
                <w:sz w:val="24"/>
                <w:szCs w:val="24"/>
                <w:highlight w:val="none"/>
                <w:lang w:val="en-US" w:eastAsia="zh-CN"/>
              </w:rPr>
            </w:pPr>
          </w:p>
        </w:tc>
        <w:tc>
          <w:tcPr>
            <w:tcW w:w="2310" w:type="dxa"/>
            <w:noWrap w:val="0"/>
            <w:vAlign w:val="center"/>
          </w:tcPr>
          <w:p w14:paraId="587E129D">
            <w:pPr>
              <w:jc w:val="left"/>
              <w:rPr>
                <w:rFonts w:hint="eastAsia" w:ascii="宋体" w:hAnsi="宋体"/>
                <w:color w:val="auto"/>
                <w:sz w:val="24"/>
                <w:szCs w:val="24"/>
                <w:highlight w:val="none"/>
              </w:rPr>
            </w:pPr>
          </w:p>
        </w:tc>
        <w:tc>
          <w:tcPr>
            <w:tcW w:w="2580" w:type="dxa"/>
            <w:noWrap w:val="0"/>
            <w:vAlign w:val="top"/>
          </w:tcPr>
          <w:p w14:paraId="3E24E66D">
            <w:pPr>
              <w:jc w:val="left"/>
              <w:rPr>
                <w:rFonts w:hint="eastAsia" w:ascii="宋体" w:hAnsi="宋体"/>
                <w:color w:val="auto"/>
                <w:szCs w:val="21"/>
                <w:highlight w:val="none"/>
              </w:rPr>
            </w:pPr>
          </w:p>
        </w:tc>
        <w:tc>
          <w:tcPr>
            <w:tcW w:w="1575" w:type="dxa"/>
            <w:noWrap w:val="0"/>
            <w:vAlign w:val="top"/>
          </w:tcPr>
          <w:p w14:paraId="3EED57F4">
            <w:pPr>
              <w:rPr>
                <w:rFonts w:hint="eastAsia" w:ascii="宋体" w:hAnsi="宋体"/>
                <w:color w:val="auto"/>
                <w:szCs w:val="21"/>
                <w:highlight w:val="none"/>
              </w:rPr>
            </w:pPr>
          </w:p>
        </w:tc>
      </w:tr>
      <w:tr w14:paraId="17D8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4" w:type="dxa"/>
            <w:noWrap w:val="0"/>
            <w:vAlign w:val="center"/>
          </w:tcPr>
          <w:p w14:paraId="55345F16">
            <w:pPr>
              <w:pStyle w:val="10"/>
              <w:spacing w:before="120" w:beforeLines="50" w:line="360" w:lineRule="auto"/>
              <w:jc w:val="center"/>
              <w:rPr>
                <w:rFonts w:hint="eastAsia" w:hAnsi="宋体"/>
                <w:b/>
                <w:bCs/>
                <w:color w:val="auto"/>
                <w:szCs w:val="21"/>
                <w:highlight w:val="none"/>
              </w:rPr>
            </w:pPr>
          </w:p>
        </w:tc>
        <w:tc>
          <w:tcPr>
            <w:tcW w:w="2551" w:type="dxa"/>
            <w:noWrap w:val="0"/>
            <w:vAlign w:val="center"/>
          </w:tcPr>
          <w:p w14:paraId="1D8E47DD">
            <w:pPr>
              <w:pStyle w:val="10"/>
              <w:spacing w:before="120" w:beforeLines="50" w:line="360" w:lineRule="auto"/>
              <w:jc w:val="center"/>
              <w:rPr>
                <w:rFonts w:hint="eastAsia" w:ascii="宋体" w:eastAsia="宋体" w:cs="Times New Roman"/>
                <w:b w:val="0"/>
                <w:bCs w:val="0"/>
                <w:color w:val="auto"/>
                <w:sz w:val="24"/>
                <w:szCs w:val="24"/>
                <w:highlight w:val="none"/>
                <w:lang w:val="en-US" w:eastAsia="zh-CN"/>
              </w:rPr>
            </w:pPr>
          </w:p>
        </w:tc>
        <w:tc>
          <w:tcPr>
            <w:tcW w:w="2310" w:type="dxa"/>
            <w:noWrap w:val="0"/>
            <w:vAlign w:val="center"/>
          </w:tcPr>
          <w:p w14:paraId="46A69D4B">
            <w:pPr>
              <w:jc w:val="left"/>
              <w:rPr>
                <w:rFonts w:hint="eastAsia" w:ascii="宋体" w:hAnsi="宋体"/>
                <w:color w:val="auto"/>
                <w:sz w:val="24"/>
                <w:szCs w:val="24"/>
                <w:highlight w:val="none"/>
              </w:rPr>
            </w:pPr>
          </w:p>
        </w:tc>
        <w:tc>
          <w:tcPr>
            <w:tcW w:w="2580" w:type="dxa"/>
            <w:noWrap w:val="0"/>
            <w:vAlign w:val="top"/>
          </w:tcPr>
          <w:p w14:paraId="16254311">
            <w:pPr>
              <w:jc w:val="left"/>
              <w:rPr>
                <w:rFonts w:hint="eastAsia" w:ascii="宋体" w:hAnsi="宋体"/>
                <w:color w:val="auto"/>
                <w:szCs w:val="21"/>
                <w:highlight w:val="none"/>
              </w:rPr>
            </w:pPr>
          </w:p>
        </w:tc>
        <w:tc>
          <w:tcPr>
            <w:tcW w:w="1575" w:type="dxa"/>
            <w:noWrap w:val="0"/>
            <w:vAlign w:val="top"/>
          </w:tcPr>
          <w:p w14:paraId="6E680FA7">
            <w:pPr>
              <w:rPr>
                <w:rFonts w:hint="eastAsia" w:ascii="宋体" w:hAnsi="宋体"/>
                <w:color w:val="auto"/>
                <w:szCs w:val="21"/>
                <w:highlight w:val="none"/>
              </w:rPr>
            </w:pPr>
          </w:p>
        </w:tc>
      </w:tr>
      <w:tr w14:paraId="5AD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4" w:type="dxa"/>
            <w:noWrap w:val="0"/>
            <w:vAlign w:val="center"/>
          </w:tcPr>
          <w:p w14:paraId="7A49701F">
            <w:pPr>
              <w:pStyle w:val="10"/>
              <w:spacing w:before="120" w:beforeLines="50" w:line="360" w:lineRule="auto"/>
              <w:jc w:val="center"/>
              <w:rPr>
                <w:rFonts w:hint="eastAsia" w:hAnsi="宋体"/>
                <w:b/>
                <w:bCs/>
                <w:color w:val="auto"/>
                <w:szCs w:val="21"/>
                <w:highlight w:val="none"/>
              </w:rPr>
            </w:pPr>
          </w:p>
        </w:tc>
        <w:tc>
          <w:tcPr>
            <w:tcW w:w="2551" w:type="dxa"/>
            <w:noWrap w:val="0"/>
            <w:vAlign w:val="center"/>
          </w:tcPr>
          <w:p w14:paraId="145286FD">
            <w:pPr>
              <w:pStyle w:val="10"/>
              <w:spacing w:before="120" w:beforeLines="50" w:line="360" w:lineRule="auto"/>
              <w:jc w:val="center"/>
              <w:rPr>
                <w:rFonts w:hint="eastAsia" w:ascii="宋体" w:eastAsia="宋体" w:cs="Times New Roman"/>
                <w:b w:val="0"/>
                <w:bCs w:val="0"/>
                <w:color w:val="auto"/>
                <w:sz w:val="24"/>
                <w:szCs w:val="24"/>
                <w:highlight w:val="none"/>
                <w:lang w:val="en-US" w:eastAsia="zh-CN"/>
              </w:rPr>
            </w:pPr>
          </w:p>
        </w:tc>
        <w:tc>
          <w:tcPr>
            <w:tcW w:w="2310" w:type="dxa"/>
            <w:noWrap w:val="0"/>
            <w:vAlign w:val="center"/>
          </w:tcPr>
          <w:p w14:paraId="6B130F58">
            <w:pPr>
              <w:jc w:val="left"/>
              <w:rPr>
                <w:rFonts w:hint="eastAsia" w:ascii="宋体" w:hAnsi="宋体"/>
                <w:color w:val="auto"/>
                <w:sz w:val="24"/>
                <w:szCs w:val="24"/>
                <w:highlight w:val="none"/>
              </w:rPr>
            </w:pPr>
          </w:p>
        </w:tc>
        <w:tc>
          <w:tcPr>
            <w:tcW w:w="2580" w:type="dxa"/>
            <w:noWrap w:val="0"/>
            <w:vAlign w:val="top"/>
          </w:tcPr>
          <w:p w14:paraId="6CE1BBDC">
            <w:pPr>
              <w:jc w:val="left"/>
              <w:rPr>
                <w:rFonts w:hint="eastAsia" w:ascii="宋体" w:hAnsi="宋体"/>
                <w:color w:val="auto"/>
                <w:szCs w:val="21"/>
                <w:highlight w:val="none"/>
              </w:rPr>
            </w:pPr>
          </w:p>
        </w:tc>
        <w:tc>
          <w:tcPr>
            <w:tcW w:w="1575" w:type="dxa"/>
            <w:noWrap w:val="0"/>
            <w:vAlign w:val="top"/>
          </w:tcPr>
          <w:p w14:paraId="4D73F47B">
            <w:pPr>
              <w:rPr>
                <w:rFonts w:hint="eastAsia" w:ascii="宋体" w:hAnsi="宋体"/>
                <w:color w:val="auto"/>
                <w:szCs w:val="21"/>
                <w:highlight w:val="none"/>
              </w:rPr>
            </w:pPr>
          </w:p>
        </w:tc>
      </w:tr>
      <w:tr w14:paraId="0DFC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4" w:type="dxa"/>
            <w:noWrap w:val="0"/>
            <w:vAlign w:val="center"/>
          </w:tcPr>
          <w:p w14:paraId="7249D1D5">
            <w:pPr>
              <w:pStyle w:val="10"/>
              <w:spacing w:before="120" w:beforeLines="50" w:line="360" w:lineRule="auto"/>
              <w:jc w:val="center"/>
              <w:rPr>
                <w:rFonts w:hint="eastAsia" w:hAnsi="宋体"/>
                <w:b/>
                <w:bCs/>
                <w:color w:val="auto"/>
                <w:szCs w:val="21"/>
                <w:highlight w:val="none"/>
              </w:rPr>
            </w:pPr>
          </w:p>
        </w:tc>
        <w:tc>
          <w:tcPr>
            <w:tcW w:w="2551" w:type="dxa"/>
            <w:noWrap w:val="0"/>
            <w:vAlign w:val="center"/>
          </w:tcPr>
          <w:p w14:paraId="229E8C27">
            <w:pPr>
              <w:pStyle w:val="10"/>
              <w:spacing w:before="120" w:beforeLines="50" w:line="360" w:lineRule="auto"/>
              <w:jc w:val="center"/>
              <w:rPr>
                <w:rFonts w:hint="eastAsia" w:ascii="宋体" w:eastAsia="宋体" w:cs="Times New Roman"/>
                <w:b w:val="0"/>
                <w:bCs w:val="0"/>
                <w:color w:val="auto"/>
                <w:sz w:val="24"/>
                <w:szCs w:val="24"/>
                <w:highlight w:val="none"/>
                <w:lang w:val="en-US" w:eastAsia="zh-CN"/>
              </w:rPr>
            </w:pPr>
          </w:p>
        </w:tc>
        <w:tc>
          <w:tcPr>
            <w:tcW w:w="2310" w:type="dxa"/>
            <w:noWrap w:val="0"/>
            <w:vAlign w:val="center"/>
          </w:tcPr>
          <w:p w14:paraId="3A78ADC0">
            <w:pPr>
              <w:jc w:val="left"/>
              <w:rPr>
                <w:rFonts w:hint="eastAsia" w:ascii="宋体" w:hAnsi="宋体"/>
                <w:color w:val="auto"/>
                <w:sz w:val="24"/>
                <w:szCs w:val="24"/>
                <w:highlight w:val="none"/>
              </w:rPr>
            </w:pPr>
          </w:p>
        </w:tc>
        <w:tc>
          <w:tcPr>
            <w:tcW w:w="2580" w:type="dxa"/>
            <w:noWrap w:val="0"/>
            <w:vAlign w:val="top"/>
          </w:tcPr>
          <w:p w14:paraId="7F9ACC1E">
            <w:pPr>
              <w:jc w:val="left"/>
              <w:rPr>
                <w:rFonts w:hint="eastAsia" w:ascii="宋体" w:hAnsi="宋体"/>
                <w:color w:val="auto"/>
                <w:szCs w:val="21"/>
                <w:highlight w:val="none"/>
              </w:rPr>
            </w:pPr>
          </w:p>
        </w:tc>
        <w:tc>
          <w:tcPr>
            <w:tcW w:w="1575" w:type="dxa"/>
            <w:noWrap w:val="0"/>
            <w:vAlign w:val="top"/>
          </w:tcPr>
          <w:p w14:paraId="72729D1C">
            <w:pPr>
              <w:rPr>
                <w:rFonts w:hint="eastAsia" w:ascii="宋体" w:hAnsi="宋体"/>
                <w:color w:val="auto"/>
                <w:szCs w:val="21"/>
                <w:highlight w:val="none"/>
              </w:rPr>
            </w:pPr>
          </w:p>
        </w:tc>
      </w:tr>
    </w:tbl>
    <w:p w14:paraId="6EEDD967">
      <w:pPr>
        <w:pStyle w:val="16"/>
        <w:spacing w:before="0" w:beforeAutospacing="0" w:after="0" w:afterAutospacing="0" w:line="400" w:lineRule="exact"/>
        <w:rPr>
          <w:rFonts w:hint="eastAsia"/>
          <w:b/>
          <w:color w:val="auto"/>
          <w:szCs w:val="24"/>
          <w:highlight w:val="none"/>
        </w:rPr>
      </w:pPr>
      <w:r>
        <w:rPr>
          <w:rFonts w:hint="eastAsia"/>
          <w:b/>
          <w:color w:val="auto"/>
          <w:szCs w:val="24"/>
          <w:highlight w:val="none"/>
        </w:rPr>
        <w:t>注：</w:t>
      </w:r>
    </w:p>
    <w:p w14:paraId="2A83F5E4">
      <w:pPr>
        <w:keepNext w:val="0"/>
        <w:keepLines w:val="0"/>
        <w:pageBreakBefore w:val="0"/>
        <w:kinsoku/>
        <w:wordWrap/>
        <w:overflowPunct/>
        <w:topLinePunct w:val="0"/>
        <w:autoSpaceDE/>
        <w:autoSpaceDN/>
        <w:bidi w:val="0"/>
        <w:adjustRightInd/>
        <w:snapToGrid w:val="0"/>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技术规格偏离表内容应与本采购文件第二</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eastAsia="zh-CN"/>
        </w:rPr>
        <w:t>项目需求</w:t>
      </w:r>
      <w:r>
        <w:rPr>
          <w:rFonts w:hint="eastAsia" w:ascii="宋体" w:hAnsi="宋体" w:eastAsia="宋体" w:cs="宋体"/>
          <w:color w:val="auto"/>
          <w:sz w:val="24"/>
          <w:szCs w:val="24"/>
          <w:highlight w:val="none"/>
        </w:rPr>
        <w:t>”内容相对应，所有参数功能应按照偏离表格式逐项列出，并写明偏离情况；若投标人未逐项列出，则未填写的内容视为完全响应采购文件要求。本采购项目采购人不接受负偏离，凡有负偏离的作无效标处理。</w:t>
      </w:r>
    </w:p>
    <w:p w14:paraId="4AA90B1B">
      <w:pPr>
        <w:keepNext w:val="0"/>
        <w:keepLines w:val="0"/>
        <w:pageBreakBefore w:val="0"/>
        <w:kinsoku/>
        <w:wordWrap/>
        <w:overflowPunct/>
        <w:topLinePunct w:val="0"/>
        <w:autoSpaceDE/>
        <w:autoSpaceDN/>
        <w:bidi w:val="0"/>
        <w:adjustRightInd/>
        <w:snapToGrid w:val="0"/>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此表可延长，“偏离情况”应填写“无偏离”、“正偏离”、“负偏离”。 采购人不接受“负偏离”。</w:t>
      </w:r>
    </w:p>
    <w:p w14:paraId="70EBF736">
      <w:pPr>
        <w:keepNext w:val="0"/>
        <w:keepLines w:val="0"/>
        <w:pageBreakBefore w:val="0"/>
        <w:kinsoku/>
        <w:wordWrap/>
        <w:overflowPunct/>
        <w:topLinePunct w:val="0"/>
        <w:autoSpaceDE/>
        <w:autoSpaceDN/>
        <w:bidi w:val="0"/>
        <w:adjustRightInd/>
        <w:snapToGrid w:val="0"/>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3.投标人如果虚假响应，将被</w:t>
      </w:r>
      <w:r>
        <w:rPr>
          <w:rFonts w:hint="eastAsia" w:ascii="宋体" w:hAnsi="宋体" w:eastAsia="宋体" w:cs="宋体"/>
          <w:color w:val="auto"/>
          <w:sz w:val="24"/>
          <w:szCs w:val="24"/>
          <w:highlight w:val="none"/>
          <w:lang w:val="en-US" w:eastAsia="zh-CN"/>
        </w:rPr>
        <w:t>列入洋口港经济开发区非诚信企业黑名单</w:t>
      </w:r>
      <w:r>
        <w:rPr>
          <w:rFonts w:hint="eastAsia" w:ascii="宋体" w:hAnsi="宋体" w:eastAsia="宋体" w:cs="宋体"/>
          <w:color w:val="auto"/>
          <w:sz w:val="24"/>
          <w:szCs w:val="24"/>
          <w:highlight w:val="none"/>
        </w:rPr>
        <w:t>。</w:t>
      </w:r>
    </w:p>
    <w:p w14:paraId="2ACE4DAE">
      <w:pPr>
        <w:keepNext w:val="0"/>
        <w:keepLines w:val="0"/>
        <w:pageBreakBefore w:val="0"/>
        <w:kinsoku/>
        <w:wordWrap/>
        <w:overflowPunct/>
        <w:topLinePunct w:val="0"/>
        <w:autoSpaceDE/>
        <w:autoSpaceDN/>
        <w:bidi w:val="0"/>
        <w:adjustRightInd/>
        <w:snapToGrid w:val="0"/>
        <w:spacing w:line="400" w:lineRule="exact"/>
        <w:ind w:firstLine="480"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若提供其他增值服务，可以在表中自行据实填写。</w:t>
      </w:r>
    </w:p>
    <w:p w14:paraId="2DDDB93E">
      <w:pPr>
        <w:spacing w:line="600" w:lineRule="exact"/>
        <w:rPr>
          <w:rFonts w:hint="eastAsia"/>
          <w:color w:val="auto"/>
          <w:sz w:val="28"/>
          <w:szCs w:val="28"/>
          <w:highlight w:val="none"/>
        </w:rPr>
      </w:pPr>
    </w:p>
    <w:p w14:paraId="421EA279">
      <w:pPr>
        <w:spacing w:line="600" w:lineRule="exact"/>
        <w:rPr>
          <w:color w:val="auto"/>
          <w:sz w:val="24"/>
          <w:szCs w:val="24"/>
          <w:highlight w:val="none"/>
          <w:u w:val="single"/>
        </w:rPr>
      </w:pPr>
      <w:r>
        <w:rPr>
          <w:rFonts w:hint="eastAsia"/>
          <w:color w:val="auto"/>
          <w:sz w:val="24"/>
          <w:szCs w:val="24"/>
          <w:highlight w:val="none"/>
        </w:rPr>
        <w:t>单位名称（加盖公章）：</w:t>
      </w:r>
      <w:r>
        <w:rPr>
          <w:rFonts w:hint="eastAsia"/>
          <w:color w:val="auto"/>
          <w:sz w:val="24"/>
          <w:szCs w:val="24"/>
          <w:highlight w:val="none"/>
          <w:u w:val="single"/>
        </w:rPr>
        <w:t xml:space="preserve">                             </w:t>
      </w:r>
    </w:p>
    <w:p w14:paraId="32F12AE1">
      <w:pPr>
        <w:spacing w:line="600" w:lineRule="exact"/>
        <w:rPr>
          <w:rFonts w:hint="eastAsia"/>
          <w:color w:val="auto"/>
          <w:sz w:val="24"/>
          <w:szCs w:val="24"/>
          <w:highlight w:val="none"/>
        </w:rPr>
      </w:pPr>
    </w:p>
    <w:p w14:paraId="027133AF">
      <w:pPr>
        <w:spacing w:line="600" w:lineRule="exact"/>
        <w:rPr>
          <w:color w:val="auto"/>
          <w:sz w:val="24"/>
          <w:szCs w:val="24"/>
          <w:highlight w:val="none"/>
          <w:u w:val="single"/>
        </w:rPr>
      </w:pPr>
      <w:r>
        <w:rPr>
          <w:rFonts w:hint="eastAsia"/>
          <w:color w:val="auto"/>
          <w:sz w:val="24"/>
          <w:szCs w:val="24"/>
          <w:highlight w:val="none"/>
        </w:rPr>
        <w:t>法定代表人（签字或盖章）：</w:t>
      </w:r>
      <w:r>
        <w:rPr>
          <w:rFonts w:hint="eastAsia"/>
          <w:color w:val="auto"/>
          <w:sz w:val="24"/>
          <w:szCs w:val="24"/>
          <w:highlight w:val="none"/>
          <w:u w:val="single"/>
        </w:rPr>
        <w:t xml:space="preserve">                         </w:t>
      </w:r>
    </w:p>
    <w:p w14:paraId="462F54E0">
      <w:pPr>
        <w:pStyle w:val="17"/>
        <w:rPr>
          <w:rFonts w:hint="eastAsia"/>
          <w:color w:val="auto"/>
          <w:sz w:val="24"/>
          <w:szCs w:val="24"/>
          <w:highlight w:val="none"/>
        </w:rPr>
      </w:pPr>
    </w:p>
    <w:p w14:paraId="52C1D221">
      <w:pPr>
        <w:ind w:firstLine="6480" w:firstLineChars="2700"/>
        <w:rPr>
          <w:rFonts w:hint="eastAsia" w:ascii="宋体" w:hAnsi="宋体" w:eastAsia="宋体" w:cs="宋体"/>
          <w:color w:val="auto"/>
          <w:sz w:val="24"/>
          <w:szCs w:val="24"/>
          <w:highlight w:val="none"/>
        </w:rPr>
      </w:pPr>
    </w:p>
    <w:p w14:paraId="5AEB86D3">
      <w:pPr>
        <w:ind w:firstLine="6720" w:firstLineChars="2800"/>
        <w:rPr>
          <w:rFonts w:hint="eastAsia"/>
          <w:color w:val="auto"/>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年     月     日</w:t>
      </w:r>
    </w:p>
    <w:p w14:paraId="1F3F0279">
      <w:pPr>
        <w:widowControl/>
        <w:snapToGrid w:val="0"/>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第</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 xml:space="preserve">部分   </w:t>
      </w:r>
      <w:r>
        <w:rPr>
          <w:rFonts w:hint="eastAsia" w:ascii="宋体" w:hAnsi="宋体" w:cs="宋体"/>
          <w:b/>
          <w:bCs/>
          <w:color w:val="auto"/>
          <w:sz w:val="30"/>
          <w:szCs w:val="30"/>
          <w:highlight w:val="none"/>
          <w:lang w:val="en-US" w:eastAsia="zh-CN"/>
        </w:rPr>
        <w:t>主要合同条款</w:t>
      </w:r>
    </w:p>
    <w:p w14:paraId="0AE01CDE">
      <w:pPr>
        <w:jc w:val="center"/>
        <w:rPr>
          <w:rFonts w:hint="eastAsia" w:ascii="宋体" w:hAnsi="宋体" w:cs="宋体"/>
          <w:b/>
          <w:color w:val="auto"/>
          <w:sz w:val="32"/>
          <w:szCs w:val="32"/>
          <w:highlight w:val="none"/>
          <w:u w:val="none"/>
          <w:lang w:val="en-US" w:eastAsia="zh-CN"/>
        </w:rPr>
      </w:pPr>
    </w:p>
    <w:p w14:paraId="5404CFBF">
      <w:pPr>
        <w:keepNext w:val="0"/>
        <w:keepLines w:val="0"/>
        <w:pageBreakBefore w:val="0"/>
        <w:widowControl w:val="0"/>
        <w:kinsoku/>
        <w:wordWrap/>
        <w:overflowPunct/>
        <w:topLinePunct w:val="0"/>
        <w:autoSpaceDE/>
        <w:autoSpaceDN/>
        <w:bidi w:val="0"/>
        <w:adjustRightInd/>
        <w:snapToGrid/>
        <w:spacing w:line="400" w:lineRule="exact"/>
        <w:ind w:firstLine="354" w:firstLineChars="147"/>
        <w:jc w:val="left"/>
        <w:textAlignment w:val="auto"/>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甲方（需方）：</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 xml:space="preserve"> 签订地点：</w:t>
      </w:r>
      <w:r>
        <w:rPr>
          <w:rFonts w:hint="eastAsia" w:ascii="宋体" w:hAnsi="宋体" w:cs="宋体"/>
          <w:b/>
          <w:color w:val="auto"/>
          <w:sz w:val="24"/>
          <w:szCs w:val="24"/>
          <w:highlight w:val="none"/>
          <w:u w:val="single"/>
        </w:rPr>
        <w:t xml:space="preserve">                     </w:t>
      </w:r>
    </w:p>
    <w:p w14:paraId="341E3909">
      <w:pPr>
        <w:keepNext w:val="0"/>
        <w:keepLines w:val="0"/>
        <w:pageBreakBefore w:val="0"/>
        <w:widowControl w:val="0"/>
        <w:kinsoku/>
        <w:wordWrap/>
        <w:overflowPunct/>
        <w:topLinePunct w:val="0"/>
        <w:autoSpaceDE/>
        <w:autoSpaceDN/>
        <w:bidi w:val="0"/>
        <w:adjustRightInd/>
        <w:snapToGrid/>
        <w:spacing w:line="400" w:lineRule="exact"/>
        <w:ind w:firstLine="354" w:firstLineChars="147"/>
        <w:textAlignment w:val="auto"/>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乙方（供方）：</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 xml:space="preserve"> 签订时间：</w:t>
      </w:r>
      <w:r>
        <w:rPr>
          <w:rFonts w:hint="eastAsia" w:ascii="宋体" w:hAnsi="宋体" w:cs="宋体"/>
          <w:b/>
          <w:color w:val="auto"/>
          <w:sz w:val="24"/>
          <w:szCs w:val="24"/>
          <w:highlight w:val="none"/>
          <w:u w:val="single"/>
        </w:rPr>
        <w:t xml:space="preserve">                     </w:t>
      </w:r>
    </w:p>
    <w:p w14:paraId="40A446CF">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highlight w:val="none"/>
        </w:rPr>
      </w:pPr>
    </w:p>
    <w:p w14:paraId="1FAD1FC9">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依照洋口港公共资源交易</w:t>
      </w:r>
      <w:r>
        <w:rPr>
          <w:rFonts w:hint="eastAsia" w:ascii="宋体" w:hAnsi="宋体"/>
          <w:color w:val="auto"/>
          <w:sz w:val="24"/>
          <w:highlight w:val="none"/>
        </w:rPr>
        <w:t>中心</w:t>
      </w:r>
      <w:r>
        <w:rPr>
          <w:rFonts w:hint="eastAsia" w:ascii="宋体" w:hAnsi="宋体"/>
          <w:color w:val="auto"/>
          <w:sz w:val="24"/>
          <w:highlight w:val="none"/>
          <w:lang w:eastAsia="zh-CN"/>
        </w:rPr>
        <w:t>YKG2024JDB247</w:t>
      </w:r>
      <w:r>
        <w:rPr>
          <w:rFonts w:hint="eastAsia" w:ascii="宋体" w:hAnsi="宋体"/>
          <w:color w:val="auto"/>
          <w:sz w:val="24"/>
          <w:highlight w:val="none"/>
        </w:rPr>
        <w:t>号</w:t>
      </w:r>
      <w:r>
        <w:rPr>
          <w:rFonts w:hint="eastAsia" w:ascii="宋体" w:hAnsi="宋体" w:cs="Times New Roman"/>
          <w:color w:val="auto"/>
          <w:sz w:val="24"/>
          <w:szCs w:val="24"/>
          <w:highlight w:val="none"/>
          <w:u w:val="single"/>
          <w:lang w:val="en-US" w:eastAsia="zh-CN"/>
        </w:rPr>
        <w:t>如东县阳光岛应急仓库应急物资采购项目</w:t>
      </w:r>
      <w:r>
        <w:rPr>
          <w:rFonts w:hint="eastAsia" w:ascii="宋体" w:hAnsi="宋体"/>
          <w:color w:val="auto"/>
          <w:sz w:val="24"/>
          <w:highlight w:val="none"/>
        </w:rPr>
        <w:t>中标（成交）通知书、《中华人民共和国民法典》、《中华人民共和国</w:t>
      </w:r>
      <w:r>
        <w:rPr>
          <w:rFonts w:hint="eastAsia" w:ascii="宋体" w:hAnsi="宋体"/>
          <w:color w:val="auto"/>
          <w:sz w:val="24"/>
          <w:highlight w:val="none"/>
          <w:lang w:val="en-US" w:eastAsia="zh-CN"/>
        </w:rPr>
        <w:t>政府采购法</w:t>
      </w:r>
      <w:r>
        <w:rPr>
          <w:rFonts w:hint="eastAsia" w:ascii="宋体" w:hAnsi="宋体"/>
          <w:color w:val="auto"/>
          <w:sz w:val="24"/>
          <w:highlight w:val="none"/>
        </w:rPr>
        <w:t>》及其他相关法律法规，遵循平等、自愿、公平和诚实信用原则，双方就</w:t>
      </w:r>
      <w:r>
        <w:rPr>
          <w:rFonts w:hint="eastAsia" w:ascii="宋体" w:hAnsi="宋体" w:cs="Times New Roman"/>
          <w:color w:val="auto"/>
          <w:sz w:val="24"/>
          <w:szCs w:val="24"/>
          <w:highlight w:val="none"/>
          <w:u w:val="single"/>
          <w:lang w:val="en-US" w:eastAsia="zh-CN"/>
        </w:rPr>
        <w:t>如东县阳光岛应急仓库应急物资采购项目</w:t>
      </w:r>
      <w:r>
        <w:rPr>
          <w:rFonts w:hint="eastAsia" w:ascii="宋体" w:hAnsi="宋体"/>
          <w:color w:val="auto"/>
          <w:sz w:val="24"/>
          <w:highlight w:val="none"/>
        </w:rPr>
        <w:t>相关事项协商一致，达成如下合同条款：</w:t>
      </w:r>
    </w:p>
    <w:p w14:paraId="0C30D052">
      <w:pPr>
        <w:keepNext w:val="0"/>
        <w:keepLines w:val="0"/>
        <w:pageBreakBefore w:val="0"/>
        <w:widowControl w:val="0"/>
        <w:numPr>
          <w:ilvl w:val="0"/>
          <w:numId w:val="4"/>
        </w:numPr>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lang w:eastAsia="zh-CN"/>
        </w:rPr>
        <w:t>项目内容</w:t>
      </w:r>
    </w:p>
    <w:p w14:paraId="0FBE5D0F">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snapToGrid w:val="0"/>
          <w:color w:val="auto"/>
          <w:sz w:val="24"/>
          <w:szCs w:val="24"/>
          <w:highlight w:val="none"/>
          <w:vertAlign w:val="baseline"/>
          <w:lang w:val="en-US" w:eastAsia="zh-CN"/>
        </w:rPr>
        <w:t>吸</w:t>
      </w:r>
      <w:r>
        <w:rPr>
          <w:rFonts w:hint="eastAsia" w:ascii="宋体" w:hAnsi="宋体" w:eastAsia="宋体" w:cs="Times New Roman"/>
          <w:color w:val="auto"/>
          <w:sz w:val="24"/>
          <w:highlight w:val="none"/>
          <w:lang w:val="en-US" w:eastAsia="zh-CN"/>
        </w:rPr>
        <w:t>油毡、</w:t>
      </w:r>
      <w:r>
        <w:rPr>
          <w:rFonts w:hint="eastAsia" w:ascii="宋体" w:hAnsi="宋体" w:eastAsia="宋体" w:cs="宋体"/>
          <w:b w:val="0"/>
          <w:bCs/>
          <w:snapToGrid w:val="0"/>
          <w:color w:val="auto"/>
          <w:sz w:val="24"/>
          <w:szCs w:val="24"/>
          <w:highlight w:val="none"/>
          <w:vertAlign w:val="baseline"/>
          <w:lang w:val="en-US" w:eastAsia="zh-CN"/>
        </w:rPr>
        <w:t>化学品吸收材料</w:t>
      </w:r>
      <w:r>
        <w:rPr>
          <w:rFonts w:hint="eastAsia" w:ascii="宋体" w:hAnsi="宋体" w:cs="宋体"/>
          <w:b w:val="0"/>
          <w:bCs/>
          <w:snapToGrid w:val="0"/>
          <w:color w:val="auto"/>
          <w:sz w:val="24"/>
          <w:szCs w:val="24"/>
          <w:highlight w:val="none"/>
          <w:vertAlign w:val="baseline"/>
          <w:lang w:val="en-US" w:eastAsia="zh-CN"/>
        </w:rPr>
        <w:t>。</w:t>
      </w:r>
    </w:p>
    <w:p w14:paraId="2BC958F0">
      <w:pPr>
        <w:keepNext w:val="0"/>
        <w:keepLines w:val="0"/>
        <w:pageBreakBefore w:val="0"/>
        <w:widowControl w:val="0"/>
        <w:numPr>
          <w:ilvl w:val="0"/>
          <w:numId w:val="5"/>
        </w:numPr>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合同总金额：人民币（大写）</w:t>
      </w:r>
      <w:r>
        <w:rPr>
          <w:rFonts w:hint="eastAsia" w:ascii="宋体" w:hAnsi="宋体"/>
          <w:color w:val="auto"/>
          <w:sz w:val="24"/>
          <w:highlight w:val="none"/>
          <w:u w:val="single"/>
        </w:rPr>
        <w:t xml:space="preserve">               </w:t>
      </w:r>
      <w:r>
        <w:rPr>
          <w:rFonts w:hint="eastAsia" w:ascii="宋体" w:hAnsi="宋体"/>
          <w:color w:val="auto"/>
          <w:sz w:val="24"/>
          <w:highlight w:val="none"/>
          <w:u w:val="none"/>
        </w:rPr>
        <w:t xml:space="preserve"> </w:t>
      </w:r>
      <w:r>
        <w:rPr>
          <w:rFonts w:hint="eastAsia" w:ascii="宋体" w:hAnsi="宋体"/>
          <w:color w:val="auto"/>
          <w:sz w:val="24"/>
          <w:highlight w:val="none"/>
          <w:u w:val="none"/>
          <w:lang w:eastAsia="zh-CN"/>
        </w:rPr>
        <w:t>元</w:t>
      </w:r>
      <w:r>
        <w:rPr>
          <w:rFonts w:hint="eastAsia" w:ascii="宋体" w:hAnsi="宋体"/>
          <w:color w:val="auto"/>
          <w:sz w:val="24"/>
          <w:highlight w:val="none"/>
          <w:u w:val="none"/>
          <w:lang w:val="en-US" w:eastAsia="zh-CN"/>
        </w:rPr>
        <w:t>(小写)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none"/>
          <w:lang w:eastAsia="zh-CN"/>
        </w:rPr>
        <w:t>元</w:t>
      </w:r>
      <w:r>
        <w:rPr>
          <w:rFonts w:hint="eastAsia" w:ascii="宋体" w:hAnsi="宋体"/>
          <w:color w:val="auto"/>
          <w:sz w:val="24"/>
          <w:highlight w:val="none"/>
        </w:rPr>
        <w:t>。</w:t>
      </w:r>
    </w:p>
    <w:p w14:paraId="5018A4D3">
      <w:pPr>
        <w:keepNext w:val="0"/>
        <w:keepLines w:val="0"/>
        <w:pageBreakBefore w:val="0"/>
        <w:widowControl/>
        <w:numPr>
          <w:ilvl w:val="0"/>
          <w:numId w:val="0"/>
        </w:numPr>
        <w:kinsoku/>
        <w:wordWrap/>
        <w:overflowPunct/>
        <w:topLinePunct w:val="0"/>
        <w:bidi w:val="0"/>
        <w:adjustRightInd w:val="0"/>
        <w:snapToGrid w:val="0"/>
        <w:spacing w:line="420" w:lineRule="exact"/>
        <w:ind w:firstLine="480" w:firstLineChars="200"/>
        <w:jc w:val="left"/>
        <w:textAlignment w:val="auto"/>
        <w:rPr>
          <w:rFonts w:hint="eastAsia"/>
          <w:color w:val="auto"/>
          <w:highlight w:val="none"/>
        </w:rPr>
      </w:pPr>
      <w:r>
        <w:rPr>
          <w:rFonts w:hint="eastAsia" w:ascii="宋体" w:hAnsi="宋体" w:eastAsia="宋体" w:cs="宋体"/>
          <w:color w:val="auto"/>
          <w:kern w:val="0"/>
          <w:sz w:val="24"/>
          <w:szCs w:val="24"/>
          <w:highlight w:val="none"/>
          <w:lang w:val="en-US" w:eastAsia="zh-CN"/>
        </w:rPr>
        <w:t>本合同采用固定单价（全费用单价）的方式，除非合同中另有规定，本合同价包括询价文件要求中的</w:t>
      </w:r>
      <w:r>
        <w:rPr>
          <w:rFonts w:hint="eastAsia" w:ascii="宋体" w:hAnsi="宋体" w:cs="宋体"/>
          <w:color w:val="auto"/>
          <w:kern w:val="0"/>
          <w:sz w:val="24"/>
          <w:szCs w:val="24"/>
          <w:highlight w:val="none"/>
          <w:lang w:val="en-US" w:eastAsia="zh-CN"/>
        </w:rPr>
        <w:t>供货</w:t>
      </w:r>
      <w:r>
        <w:rPr>
          <w:rFonts w:hint="eastAsia" w:ascii="宋体" w:hAnsi="宋体" w:eastAsia="宋体" w:cs="宋体"/>
          <w:color w:val="auto"/>
          <w:kern w:val="0"/>
          <w:sz w:val="24"/>
          <w:szCs w:val="24"/>
          <w:highlight w:val="none"/>
          <w:lang w:val="en-US" w:eastAsia="zh-CN"/>
        </w:rPr>
        <w:t>、运杂费（包括卸货、二次搬运）费、包装费、保险费、</w:t>
      </w:r>
      <w:r>
        <w:rPr>
          <w:rFonts w:hint="eastAsia" w:ascii="宋体" w:hAnsi="宋体" w:cs="宋体"/>
          <w:color w:val="auto"/>
          <w:kern w:val="0"/>
          <w:sz w:val="24"/>
          <w:szCs w:val="24"/>
          <w:highlight w:val="none"/>
          <w:lang w:val="en-US" w:eastAsia="zh-CN"/>
        </w:rPr>
        <w:t>处置费、评标专家费、利润、税金</w:t>
      </w:r>
      <w:r>
        <w:rPr>
          <w:rFonts w:hint="eastAsia" w:ascii="宋体" w:hAnsi="宋体" w:eastAsia="宋体" w:cs="宋体"/>
          <w:color w:val="auto"/>
          <w:kern w:val="0"/>
          <w:sz w:val="24"/>
          <w:szCs w:val="24"/>
          <w:highlight w:val="none"/>
          <w:lang w:val="en-US" w:eastAsia="zh-CN"/>
        </w:rPr>
        <w:t>以及国家规定的各项费用等一切费用。</w:t>
      </w:r>
    </w:p>
    <w:p w14:paraId="5D431CE4">
      <w:pPr>
        <w:keepNext w:val="0"/>
        <w:keepLines w:val="0"/>
        <w:pageBreakBefore w:val="0"/>
        <w:widowControl w:val="0"/>
        <w:numPr>
          <w:ilvl w:val="0"/>
          <w:numId w:val="5"/>
        </w:numPr>
        <w:kinsoku/>
        <w:wordWrap/>
        <w:overflowPunct/>
        <w:topLinePunct w:val="0"/>
        <w:bidi w:val="0"/>
        <w:snapToGrid/>
        <w:spacing w:line="440" w:lineRule="exact"/>
        <w:ind w:left="0" w:leftChars="0" w:firstLine="540" w:firstLineChars="225"/>
        <w:textAlignment w:val="auto"/>
        <w:rPr>
          <w:rFonts w:hint="eastAsia" w:ascii="宋体" w:hAnsi="宋体"/>
          <w:color w:val="auto"/>
          <w:sz w:val="24"/>
          <w:highlight w:val="none"/>
          <w:u w:val="single"/>
        </w:rPr>
      </w:pPr>
      <w:r>
        <w:rPr>
          <w:rFonts w:hint="eastAsia" w:ascii="宋体" w:hAnsi="宋体"/>
          <w:color w:val="auto"/>
          <w:sz w:val="24"/>
          <w:highlight w:val="none"/>
        </w:rPr>
        <w:t>供货期：</w:t>
      </w:r>
      <w:r>
        <w:rPr>
          <w:rFonts w:hint="eastAsia" w:ascii="宋体" w:hAnsi="宋体"/>
          <w:color w:val="auto"/>
          <w:sz w:val="24"/>
          <w:highlight w:val="none"/>
          <w:u w:val="single"/>
        </w:rPr>
        <w:t>供货合同签订之日起</w:t>
      </w:r>
      <w:r>
        <w:rPr>
          <w:rFonts w:hint="eastAsia" w:ascii="宋体" w:hAnsi="宋体"/>
          <w:color w:val="auto"/>
          <w:sz w:val="24"/>
          <w:highlight w:val="none"/>
          <w:u w:val="single"/>
          <w:lang w:val="en-US" w:eastAsia="zh-CN"/>
        </w:rPr>
        <w:t>30日历天</w:t>
      </w:r>
      <w:r>
        <w:rPr>
          <w:rFonts w:hint="eastAsia" w:ascii="宋体" w:hAnsi="宋体"/>
          <w:color w:val="auto"/>
          <w:sz w:val="24"/>
          <w:highlight w:val="none"/>
          <w:u w:val="single"/>
        </w:rPr>
        <w:t>内供货至甲方指定地点并接受验收。</w:t>
      </w:r>
    </w:p>
    <w:p w14:paraId="41BDD3F8">
      <w:pPr>
        <w:keepNext w:val="0"/>
        <w:keepLines w:val="0"/>
        <w:pageBreakBefore w:val="0"/>
        <w:widowControl w:val="0"/>
        <w:numPr>
          <w:ilvl w:val="0"/>
          <w:numId w:val="0"/>
        </w:numPr>
        <w:kinsoku/>
        <w:wordWrap/>
        <w:overflowPunct/>
        <w:topLinePunct w:val="0"/>
        <w:bidi w:val="0"/>
        <w:snapToGrid/>
        <w:spacing w:line="440" w:lineRule="exact"/>
        <w:ind w:leftChars="225"/>
        <w:textAlignment w:val="auto"/>
        <w:rPr>
          <w:rFonts w:hint="eastAsia" w:ascii="宋体" w:hAnsi="宋体"/>
          <w:color w:val="auto"/>
          <w:sz w:val="24"/>
          <w:highlight w:val="none"/>
        </w:rPr>
      </w:pPr>
      <w:r>
        <w:rPr>
          <w:rFonts w:hint="eastAsia" w:ascii="宋体" w:hAnsi="宋体"/>
          <w:color w:val="auto"/>
          <w:sz w:val="24"/>
          <w:highlight w:val="none"/>
        </w:rPr>
        <w:t>四、质量保修</w:t>
      </w:r>
    </w:p>
    <w:p w14:paraId="08A8625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所有</w:t>
      </w:r>
      <w:r>
        <w:rPr>
          <w:rFonts w:hint="eastAsia" w:ascii="宋体" w:hAnsi="宋体" w:cs="宋体"/>
          <w:color w:val="auto"/>
          <w:kern w:val="0"/>
          <w:sz w:val="24"/>
          <w:szCs w:val="24"/>
          <w:highlight w:val="none"/>
          <w:lang w:val="en-US" w:eastAsia="zh-CN"/>
        </w:rPr>
        <w:t>产品</w:t>
      </w:r>
      <w:r>
        <w:rPr>
          <w:rFonts w:hint="eastAsia" w:ascii="宋体" w:hAnsi="宋体" w:cs="宋体"/>
          <w:color w:val="auto"/>
          <w:kern w:val="0"/>
          <w:sz w:val="24"/>
          <w:szCs w:val="24"/>
          <w:highlight w:val="none"/>
        </w:rPr>
        <w:t>是优质、全新未用过、无损、检测合格的，须符合国家相关技术要求，所有</w:t>
      </w:r>
      <w:r>
        <w:rPr>
          <w:rFonts w:hint="eastAsia" w:ascii="宋体" w:hAnsi="宋体" w:cs="宋体"/>
          <w:color w:val="auto"/>
          <w:kern w:val="0"/>
          <w:sz w:val="24"/>
          <w:szCs w:val="24"/>
          <w:highlight w:val="none"/>
          <w:lang w:val="en-US" w:eastAsia="zh-CN"/>
        </w:rPr>
        <w:t>产品</w:t>
      </w:r>
      <w:r>
        <w:rPr>
          <w:rFonts w:hint="eastAsia" w:ascii="宋体" w:hAnsi="宋体" w:cs="宋体"/>
          <w:color w:val="auto"/>
          <w:kern w:val="0"/>
          <w:sz w:val="24"/>
          <w:szCs w:val="24"/>
          <w:highlight w:val="none"/>
        </w:rPr>
        <w:t>须经采购人验收合格后方可进场。</w:t>
      </w:r>
    </w:p>
    <w:p w14:paraId="4AC92A6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所有产品必须标识清晰，相关质保、合格证书齐全</w:t>
      </w:r>
      <w:r>
        <w:rPr>
          <w:rFonts w:hint="eastAsia" w:ascii="宋体" w:hAnsi="宋体"/>
          <w:color w:val="auto"/>
          <w:sz w:val="24"/>
          <w:highlight w:val="none"/>
          <w:lang w:eastAsia="zh-CN"/>
        </w:rPr>
        <w:t>。</w:t>
      </w:r>
    </w:p>
    <w:p w14:paraId="56A48C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、成</w:t>
      </w:r>
      <w:r>
        <w:rPr>
          <w:rFonts w:hint="eastAsia" w:ascii="宋体" w:hAnsi="宋体" w:cs="宋体"/>
          <w:color w:val="auto"/>
          <w:kern w:val="0"/>
          <w:sz w:val="24"/>
          <w:szCs w:val="24"/>
          <w:highlight w:val="none"/>
        </w:rPr>
        <w:t>交供应商必须</w:t>
      </w:r>
      <w:r>
        <w:rPr>
          <w:rFonts w:hint="eastAsia" w:ascii="宋体" w:hAnsi="宋体" w:cs="宋体"/>
          <w:color w:val="auto"/>
          <w:kern w:val="0"/>
          <w:sz w:val="24"/>
          <w:szCs w:val="24"/>
          <w:highlight w:val="none"/>
          <w:lang w:val="en-US" w:eastAsia="zh-CN"/>
        </w:rPr>
        <w:t>按照产品</w:t>
      </w:r>
      <w:r>
        <w:rPr>
          <w:rFonts w:hint="eastAsia" w:ascii="宋体" w:hAnsi="宋体" w:eastAsia="宋体" w:cs="宋体"/>
          <w:b w:val="0"/>
          <w:bCs/>
          <w:snapToGrid w:val="0"/>
          <w:color w:val="auto"/>
          <w:sz w:val="24"/>
          <w:szCs w:val="24"/>
          <w:highlight w:val="none"/>
          <w:vertAlign w:val="baseline"/>
          <w:lang w:val="en-US" w:eastAsia="zh-CN"/>
        </w:rPr>
        <w:t>有效期5年</w:t>
      </w:r>
      <w:r>
        <w:rPr>
          <w:rFonts w:hint="eastAsia" w:ascii="宋体" w:hAnsi="宋体" w:eastAsia="宋体" w:cs="宋体"/>
          <w:color w:val="auto"/>
          <w:kern w:val="0"/>
          <w:sz w:val="24"/>
          <w:szCs w:val="24"/>
          <w:highlight w:val="none"/>
          <w:lang w:val="en-US" w:eastAsia="zh-CN"/>
        </w:rPr>
        <w:t>提供免</w:t>
      </w:r>
      <w:r>
        <w:rPr>
          <w:rFonts w:hint="eastAsia" w:ascii="宋体" w:hAnsi="宋体" w:cs="宋体"/>
          <w:color w:val="auto"/>
          <w:kern w:val="0"/>
          <w:sz w:val="24"/>
          <w:szCs w:val="24"/>
          <w:highlight w:val="none"/>
        </w:rPr>
        <w:t>费质保。</w:t>
      </w:r>
    </w:p>
    <w:p w14:paraId="578137D8">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五、质量要求：验收合格。</w:t>
      </w:r>
    </w:p>
    <w:p w14:paraId="21B738E6">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lang w:eastAsia="zh-CN"/>
        </w:rPr>
        <w:t>六</w:t>
      </w:r>
      <w:r>
        <w:rPr>
          <w:rFonts w:hint="eastAsia" w:ascii="宋体" w:hAnsi="宋体"/>
          <w:color w:val="auto"/>
          <w:sz w:val="24"/>
          <w:highlight w:val="none"/>
        </w:rPr>
        <w:t>、交货地点：甲方指定地点。</w:t>
      </w:r>
    </w:p>
    <w:p w14:paraId="47FBB478">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lang w:eastAsia="zh-CN"/>
        </w:rPr>
        <w:t>七</w:t>
      </w:r>
      <w:r>
        <w:rPr>
          <w:rFonts w:hint="eastAsia" w:ascii="宋体" w:hAnsi="宋体"/>
          <w:color w:val="auto"/>
          <w:sz w:val="24"/>
          <w:highlight w:val="none"/>
        </w:rPr>
        <w:t>、</w:t>
      </w:r>
      <w:r>
        <w:rPr>
          <w:rFonts w:hint="eastAsia" w:ascii="宋体" w:hAnsi="宋体" w:cs="宋体"/>
          <w:color w:val="auto"/>
          <w:sz w:val="24"/>
          <w:szCs w:val="24"/>
          <w:highlight w:val="none"/>
        </w:rPr>
        <w:t>验收标准：成交供应商提供的产品必须是性能可靠的全新</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，并提供主要产品生产厂家的检验合格证书、质量保证书等证明文件。根据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要求接受验收。</w:t>
      </w:r>
    </w:p>
    <w:p w14:paraId="57D7A71F">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九、付款</w:t>
      </w:r>
      <w:r>
        <w:rPr>
          <w:rFonts w:hint="eastAsia" w:ascii="宋体" w:hAnsi="宋体"/>
          <w:color w:val="auto"/>
          <w:sz w:val="24"/>
          <w:highlight w:val="none"/>
          <w:lang w:eastAsia="zh-CN"/>
        </w:rPr>
        <w:t>方式</w:t>
      </w:r>
      <w:r>
        <w:rPr>
          <w:rFonts w:hint="eastAsia" w:ascii="宋体" w:hAnsi="宋体"/>
          <w:color w:val="auto"/>
          <w:sz w:val="24"/>
          <w:highlight w:val="none"/>
        </w:rPr>
        <w:t>：</w:t>
      </w:r>
    </w:p>
    <w:p w14:paraId="7EDD2485">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所有产品供货至</w:t>
      </w:r>
      <w:r>
        <w:rPr>
          <w:rFonts w:hint="eastAsia" w:ascii="宋体" w:hAnsi="宋体" w:eastAsia="宋体" w:cs="Times New Roman"/>
          <w:b/>
          <w:bCs/>
          <w:color w:val="auto"/>
          <w:sz w:val="24"/>
          <w:highlight w:val="none"/>
          <w:lang w:val="en-US" w:eastAsia="zh-CN"/>
        </w:rPr>
        <w:t>甲方</w:t>
      </w:r>
      <w:r>
        <w:rPr>
          <w:rFonts w:hint="eastAsia" w:ascii="宋体" w:hAnsi="宋体" w:eastAsia="宋体" w:cs="Times New Roman"/>
          <w:b/>
          <w:bCs/>
          <w:color w:val="auto"/>
          <w:sz w:val="24"/>
          <w:highlight w:val="none"/>
        </w:rPr>
        <w:t>指定地点并通过</w:t>
      </w:r>
      <w:r>
        <w:rPr>
          <w:rFonts w:hint="eastAsia" w:ascii="宋体" w:hAnsi="宋体" w:eastAsia="宋体" w:cs="Times New Roman"/>
          <w:b/>
          <w:bCs/>
          <w:color w:val="auto"/>
          <w:sz w:val="24"/>
          <w:highlight w:val="none"/>
          <w:lang w:val="en-US" w:eastAsia="zh-CN"/>
        </w:rPr>
        <w:t>甲方</w:t>
      </w:r>
      <w:r>
        <w:rPr>
          <w:rFonts w:hint="eastAsia" w:ascii="宋体" w:hAnsi="宋体" w:eastAsia="宋体" w:cs="Times New Roman"/>
          <w:b/>
          <w:bCs/>
          <w:color w:val="auto"/>
          <w:sz w:val="24"/>
          <w:highlight w:val="none"/>
        </w:rPr>
        <w:t>组织的验收后</w:t>
      </w:r>
      <w:r>
        <w:rPr>
          <w:rFonts w:hint="eastAsia" w:ascii="宋体" w:hAnsi="宋体" w:eastAsia="宋体" w:cs="Times New Roman"/>
          <w:b/>
          <w:bCs/>
          <w:color w:val="auto"/>
          <w:sz w:val="24"/>
          <w:highlight w:val="none"/>
          <w:lang w:eastAsia="zh-CN"/>
        </w:rPr>
        <w:t>凭</w:t>
      </w:r>
      <w:r>
        <w:rPr>
          <w:rFonts w:hint="eastAsia" w:ascii="宋体" w:hAnsi="宋体" w:eastAsia="宋体" w:cs="Times New Roman"/>
          <w:b/>
          <w:bCs/>
          <w:color w:val="auto"/>
          <w:sz w:val="24"/>
          <w:highlight w:val="none"/>
        </w:rPr>
        <w:t>经洋口港公共资源交易中心见证的项目供需合同、验收单（经验收合格）及</w:t>
      </w:r>
      <w:r>
        <w:rPr>
          <w:rFonts w:hint="eastAsia" w:ascii="宋体" w:hAnsi="宋体" w:eastAsia="宋体" w:cs="Times New Roman"/>
          <w:b/>
          <w:bCs/>
          <w:color w:val="auto"/>
          <w:sz w:val="24"/>
          <w:highlight w:val="none"/>
          <w:lang w:val="en-US" w:eastAsia="zh-CN"/>
        </w:rPr>
        <w:t>税率为13%的</w:t>
      </w:r>
      <w:r>
        <w:rPr>
          <w:rFonts w:hint="eastAsia" w:ascii="宋体" w:hAnsi="宋体" w:eastAsia="宋体" w:cs="Times New Roman"/>
          <w:b/>
          <w:bCs/>
          <w:color w:val="auto"/>
          <w:sz w:val="24"/>
          <w:highlight w:val="none"/>
        </w:rPr>
        <w:t>增值税专用发票后一次性付清。</w:t>
      </w:r>
    </w:p>
    <w:p w14:paraId="1DA08CF4">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十、担保条款：供方在签定本合同前向需方交纳本合同的履约保证金</w:t>
      </w:r>
      <w:r>
        <w:rPr>
          <w:rFonts w:hint="eastAsia" w:ascii="宋体" w:hAnsi="宋体"/>
          <w:color w:val="auto"/>
          <w:sz w:val="24"/>
          <w:highlight w:val="none"/>
          <w:u w:val="single"/>
        </w:rPr>
        <w:t xml:space="preserve">        </w:t>
      </w:r>
      <w:r>
        <w:rPr>
          <w:rFonts w:hint="eastAsia" w:ascii="宋体" w:hAnsi="宋体"/>
          <w:color w:val="auto"/>
          <w:sz w:val="24"/>
          <w:highlight w:val="none"/>
        </w:rPr>
        <w:t>元。该款在</w:t>
      </w:r>
      <w:r>
        <w:rPr>
          <w:rFonts w:hint="eastAsia" w:ascii="宋体" w:hAnsi="宋体"/>
          <w:color w:val="auto"/>
          <w:sz w:val="24"/>
          <w:highlight w:val="none"/>
          <w:u w:val="single"/>
        </w:rPr>
        <w:t xml:space="preserve"> 验收合格后无息退还  </w:t>
      </w:r>
      <w:r>
        <w:rPr>
          <w:rFonts w:hint="eastAsia" w:ascii="宋体" w:hAnsi="宋体"/>
          <w:color w:val="auto"/>
          <w:sz w:val="24"/>
          <w:highlight w:val="none"/>
        </w:rPr>
        <w:t>。</w:t>
      </w:r>
    </w:p>
    <w:p w14:paraId="43828776">
      <w:pPr>
        <w:keepNext w:val="0"/>
        <w:keepLines w:val="0"/>
        <w:pageBreakBefore w:val="0"/>
        <w:widowControl w:val="0"/>
        <w:kinsoku/>
        <w:wordWrap/>
        <w:overflowPunct/>
        <w:topLinePunct w:val="0"/>
        <w:bidi w:val="0"/>
        <w:snapToGrid/>
        <w:spacing w:line="440" w:lineRule="exact"/>
        <w:ind w:firstLine="540"/>
        <w:textAlignment w:val="auto"/>
        <w:rPr>
          <w:rFonts w:ascii="宋体" w:hAnsi="宋体"/>
          <w:color w:val="auto"/>
          <w:sz w:val="24"/>
          <w:highlight w:val="none"/>
        </w:rPr>
      </w:pPr>
      <w:r>
        <w:rPr>
          <w:rFonts w:hint="eastAsia" w:ascii="宋体" w:hAnsi="宋体"/>
          <w:color w:val="auto"/>
          <w:sz w:val="24"/>
          <w:highlight w:val="none"/>
        </w:rPr>
        <w:t>十一、违约责任：</w:t>
      </w:r>
      <w:r>
        <w:rPr>
          <w:rFonts w:hint="eastAsia" w:ascii="宋体" w:hAnsi="宋体" w:eastAsia="宋体" w:cs="宋体"/>
          <w:color w:val="auto"/>
          <w:sz w:val="24"/>
          <w:highlight w:val="none"/>
        </w:rPr>
        <w:t>如乙方违约,均须依照下列约定向甲方支付违约金</w:t>
      </w:r>
      <w:r>
        <w:rPr>
          <w:rFonts w:hint="eastAsia" w:ascii="宋体" w:hAnsi="宋体"/>
          <w:color w:val="auto"/>
          <w:sz w:val="24"/>
          <w:highlight w:val="none"/>
        </w:rPr>
        <w:t>。</w:t>
      </w:r>
    </w:p>
    <w:p w14:paraId="34D52C15">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olor w:val="auto"/>
          <w:sz w:val="24"/>
          <w:szCs w:val="22"/>
          <w:highlight w:val="none"/>
        </w:rPr>
      </w:pPr>
      <w:r>
        <w:rPr>
          <w:rFonts w:hint="eastAsia" w:ascii="宋体" w:hAnsi="宋体" w:eastAsia="宋体"/>
          <w:color w:val="auto"/>
          <w:sz w:val="24"/>
          <w:szCs w:val="22"/>
          <w:highlight w:val="none"/>
        </w:rPr>
        <w:t>1、乙方未按合同规定的质量交货，甲方有权拒收，由此造成的直接损失和间接损失由乙方赔偿。</w:t>
      </w:r>
    </w:p>
    <w:p w14:paraId="7D0172E6">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olor w:val="auto"/>
          <w:sz w:val="24"/>
          <w:szCs w:val="22"/>
          <w:highlight w:val="none"/>
        </w:rPr>
      </w:pPr>
      <w:r>
        <w:rPr>
          <w:rFonts w:hint="eastAsia" w:ascii="宋体" w:hAnsi="宋体" w:eastAsia="宋体"/>
          <w:b/>
          <w:bCs/>
          <w:color w:val="auto"/>
          <w:sz w:val="24"/>
          <w:szCs w:val="22"/>
          <w:highlight w:val="none"/>
        </w:rPr>
        <w:t>2、若因乙方自身原因导致项目逾期，每延迟一天，乙方需支付违约金2000元；逾期十天以上的，甲方有权解除合同，且不支付任何费用，且有权要求乙方赔偿损失。</w:t>
      </w:r>
    </w:p>
    <w:p w14:paraId="24AC5841">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olor w:val="auto"/>
          <w:sz w:val="24"/>
          <w:szCs w:val="22"/>
          <w:highlight w:val="none"/>
        </w:rPr>
      </w:pPr>
      <w:r>
        <w:rPr>
          <w:rFonts w:hint="eastAsia" w:ascii="宋体" w:hAnsi="宋体" w:eastAsia="宋体"/>
          <w:color w:val="auto"/>
          <w:sz w:val="24"/>
          <w:szCs w:val="22"/>
          <w:highlight w:val="none"/>
        </w:rPr>
        <w:t>3、乙方交付的货物质量存在重大问题的,甲方直接退货，并按照逾期交货进行处罚。</w:t>
      </w:r>
    </w:p>
    <w:p w14:paraId="3C0EA1A9">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olor w:val="auto"/>
          <w:sz w:val="24"/>
          <w:szCs w:val="22"/>
          <w:highlight w:val="none"/>
        </w:rPr>
      </w:pPr>
      <w:r>
        <w:rPr>
          <w:rFonts w:hint="eastAsia" w:ascii="宋体" w:hAnsi="宋体" w:eastAsia="宋体"/>
          <w:color w:val="auto"/>
          <w:sz w:val="24"/>
          <w:szCs w:val="22"/>
          <w:highlight w:val="none"/>
        </w:rPr>
        <w:t>4、属于保修范围和内容的项目，乙方应在接到修理通知之日后</w:t>
      </w:r>
      <w:r>
        <w:rPr>
          <w:rFonts w:hint="eastAsia" w:ascii="宋体" w:hAnsi="宋体"/>
          <w:color w:val="auto"/>
          <w:sz w:val="24"/>
          <w:szCs w:val="22"/>
          <w:highlight w:val="none"/>
          <w:lang w:val="en-US" w:eastAsia="zh-CN"/>
        </w:rPr>
        <w:t>1个工作日</w:t>
      </w:r>
      <w:r>
        <w:rPr>
          <w:rFonts w:hint="eastAsia" w:ascii="宋体" w:hAnsi="宋体" w:eastAsia="宋体"/>
          <w:color w:val="auto"/>
          <w:sz w:val="24"/>
          <w:szCs w:val="22"/>
          <w:highlight w:val="none"/>
        </w:rPr>
        <w:t>内派人修理</w:t>
      </w:r>
      <w:r>
        <w:rPr>
          <w:rFonts w:hint="eastAsia" w:ascii="宋体" w:hAnsi="宋体" w:eastAsia="宋体"/>
          <w:color w:val="auto"/>
          <w:sz w:val="24"/>
          <w:szCs w:val="22"/>
          <w:highlight w:val="none"/>
          <w:lang w:eastAsia="zh-CN"/>
        </w:rPr>
        <w:t>完成</w:t>
      </w:r>
      <w:r>
        <w:rPr>
          <w:rFonts w:hint="eastAsia" w:ascii="宋体" w:hAnsi="宋体" w:eastAsia="宋体"/>
          <w:color w:val="auto"/>
          <w:sz w:val="24"/>
          <w:szCs w:val="22"/>
          <w:highlight w:val="none"/>
        </w:rPr>
        <w:t>。如乙方在约定期限内不能派人修理，甲方可委托其他人员修理，保修费用及造成的损失由乙方承担，并处违约金1000元/次。如尾款不足以扣除时，甲方有权向项目所在地法院起诉，要求乙方进行相应赔偿。乙方在甲方要求的时间内无法排除故障，甲方有权要求乙方无条件更换产品，乙方应在规定期限内无偿更换。</w:t>
      </w:r>
    </w:p>
    <w:p w14:paraId="0C5F78D6">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eastAsia="宋体"/>
          <w:color w:val="auto"/>
          <w:sz w:val="24"/>
          <w:szCs w:val="22"/>
          <w:highlight w:val="none"/>
        </w:rPr>
      </w:pPr>
      <w:r>
        <w:rPr>
          <w:rFonts w:hint="eastAsia" w:ascii="宋体" w:hAnsi="宋体" w:eastAsia="宋体"/>
          <w:color w:val="auto"/>
          <w:sz w:val="24"/>
          <w:szCs w:val="22"/>
          <w:highlight w:val="none"/>
        </w:rPr>
        <w:t>5、在材料或设备进场后如发现乙方未使用建议品牌的材料或设备，需进行更换，每发现一次处以所使用的材料或设备的价格的50%的违约金且需全部更换为所报品牌的材料或设备。期间所产生的返工费用及相关责任由乙方负责。</w:t>
      </w:r>
    </w:p>
    <w:p w14:paraId="1C721180">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eastAsia="宋体"/>
          <w:color w:val="auto"/>
          <w:sz w:val="24"/>
          <w:szCs w:val="22"/>
          <w:highlight w:val="none"/>
        </w:rPr>
        <w:t>6、合同一经生效，乙方违约致合同不能履行的，除因不可抗力或情势变更等法律法规规定的免责情形外，乙方则以合同总额的10%的违约金进行处罚。</w:t>
      </w:r>
    </w:p>
    <w:p w14:paraId="315EE2B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十二、合同纠纷处理：本合同执行过程中发生纠纷，由供需双方协商解决；或提交当地相关部门调解；协商或调解不成</w:t>
      </w:r>
      <w:r>
        <w:rPr>
          <w:rFonts w:ascii="宋体" w:hAnsi="宋体"/>
          <w:color w:val="auto"/>
          <w:sz w:val="24"/>
          <w:highlight w:val="none"/>
        </w:rPr>
        <w:t>,</w:t>
      </w:r>
      <w:r>
        <w:rPr>
          <w:rFonts w:hint="eastAsia" w:ascii="宋体" w:hAnsi="宋体"/>
          <w:color w:val="auto"/>
          <w:sz w:val="24"/>
          <w:highlight w:val="none"/>
        </w:rPr>
        <w:t>则任何一方均可以依法提出仲裁或向需方所在地人民法院提起诉讼。</w:t>
      </w:r>
    </w:p>
    <w:p w14:paraId="07E6A981">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十三、组成本合同的文件包括：</w:t>
      </w:r>
    </w:p>
    <w:p w14:paraId="4A3440C1">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⒈ 本合同条款；</w:t>
      </w:r>
    </w:p>
    <w:p w14:paraId="01510208">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⒉ 本项目的政府采购文件和供方应标文件；</w:t>
      </w:r>
    </w:p>
    <w:p w14:paraId="6E2D6639">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⒊ 本项目在采购过程中供需双方签署的全部文字和图片资料；</w:t>
      </w:r>
    </w:p>
    <w:p w14:paraId="41E6661F">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⒋供需双方其它按规定约定事宜。</w:t>
      </w:r>
    </w:p>
    <w:p w14:paraId="01342427">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十四、本合同未尽事宜，以政府采购文件为准。</w:t>
      </w:r>
    </w:p>
    <w:p w14:paraId="370875C5">
      <w:pPr>
        <w:keepNext w:val="0"/>
        <w:keepLines w:val="0"/>
        <w:pageBreakBefore w:val="0"/>
        <w:widowControl w:val="0"/>
        <w:kinsoku/>
        <w:wordWrap/>
        <w:overflowPunct/>
        <w:topLinePunct w:val="0"/>
        <w:bidi w:val="0"/>
        <w:snapToGrid/>
        <w:spacing w:line="440" w:lineRule="exact"/>
        <w:ind w:firstLine="540"/>
        <w:textAlignment w:val="auto"/>
        <w:rPr>
          <w:rFonts w:hint="eastAsia" w:ascii="宋体" w:hAnsi="宋体"/>
          <w:b/>
          <w:bCs/>
          <w:color w:val="auto"/>
          <w:sz w:val="24"/>
          <w:highlight w:val="none"/>
        </w:rPr>
      </w:pPr>
      <w:r>
        <w:rPr>
          <w:rFonts w:hint="eastAsia" w:ascii="宋体" w:hAnsi="宋体"/>
          <w:color w:val="auto"/>
          <w:sz w:val="24"/>
          <w:highlight w:val="none"/>
        </w:rPr>
        <w:t>十五、合同生效：本合同由供需双方签字盖章后生效。</w:t>
      </w:r>
    </w:p>
    <w:p w14:paraId="368BB7CC">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方正书宋_GBK" w:hAnsi="宋体" w:eastAsia="方正书宋_GBK"/>
          <w:color w:val="auto"/>
          <w:sz w:val="32"/>
          <w:szCs w:val="32"/>
          <w:highlight w:val="none"/>
        </w:rPr>
      </w:pPr>
      <w:r>
        <w:rPr>
          <w:rFonts w:hint="eastAsia" w:ascii="宋体" w:hAnsi="宋体"/>
          <w:color w:val="auto"/>
          <w:sz w:val="24"/>
          <w:highlight w:val="none"/>
        </w:rPr>
        <w:t>十六、合同见证备案：本合同合同一式捌份，甲、乙双方各执三份，区公共资源交易中心、财政局各留存一份。</w:t>
      </w:r>
    </w:p>
    <w:p w14:paraId="61DE7A81">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u w:val="single"/>
        </w:rPr>
      </w:pPr>
      <w:r>
        <w:rPr>
          <w:rFonts w:hint="eastAsia" w:ascii="宋体" w:hAnsi="宋体"/>
          <w:color w:val="auto"/>
          <w:sz w:val="24"/>
          <w:highlight w:val="none"/>
        </w:rPr>
        <w:t>甲方（需方）（盖章）：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乙方（供方）（盖章）：</w:t>
      </w:r>
      <w:r>
        <w:rPr>
          <w:rFonts w:hint="eastAsia" w:ascii="宋体" w:hAnsi="宋体"/>
          <w:color w:val="auto"/>
          <w:sz w:val="24"/>
          <w:highlight w:val="none"/>
          <w:u w:val="single"/>
        </w:rPr>
        <w:t xml:space="preserve">           </w:t>
      </w:r>
    </w:p>
    <w:p w14:paraId="28C1930C">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地址：</w:t>
      </w:r>
      <w:r>
        <w:rPr>
          <w:rFonts w:hint="eastAsia" w:ascii="宋体" w:hAnsi="宋体"/>
          <w:color w:val="auto"/>
          <w:sz w:val="24"/>
          <w:highlight w:val="none"/>
          <w:u w:val="single"/>
        </w:rPr>
        <w:t xml:space="preserve">                          </w:t>
      </w:r>
    </w:p>
    <w:p w14:paraId="3E8E097E">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u w:val="single"/>
        </w:rPr>
      </w:pPr>
      <w:r>
        <w:rPr>
          <w:rFonts w:hint="eastAsia" w:ascii="宋体" w:hAnsi="宋体"/>
          <w:color w:val="auto"/>
          <w:sz w:val="24"/>
          <w:highlight w:val="none"/>
        </w:rPr>
        <w:t>法定（授权）代表人：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p>
    <w:p w14:paraId="734AB29E">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95725C8">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E5BC4BA">
      <w:pPr>
        <w:keepNext w:val="0"/>
        <w:keepLines w:val="0"/>
        <w:pageBreakBefore w:val="0"/>
        <w:widowControl w:val="0"/>
        <w:kinsoku/>
        <w:wordWrap/>
        <w:overflowPunct/>
        <w:topLinePunct w:val="0"/>
        <w:bidi w:val="0"/>
        <w:snapToGrid/>
        <w:spacing w:line="44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 xml:space="preserve">            </w:t>
      </w:r>
    </w:p>
    <w:p w14:paraId="75A7AD9A">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color w:val="auto"/>
          <w:sz w:val="24"/>
          <w:szCs w:val="24"/>
          <w:highlight w:val="none"/>
        </w:rPr>
      </w:pPr>
    </w:p>
    <w:p w14:paraId="2C5D1553">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见证方（盖章）：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8B64F1D">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E5B016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cs="宋体"/>
          <w:color w:val="auto"/>
          <w:sz w:val="24"/>
          <w:szCs w:val="24"/>
          <w:highlight w:val="none"/>
        </w:rPr>
        <w:t>见证人（签字）：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436594C">
      <w:pPr>
        <w:pStyle w:val="2"/>
        <w:rPr>
          <w:color w:val="auto"/>
          <w:highlight w:val="none"/>
        </w:rPr>
      </w:pPr>
    </w:p>
    <w:p w14:paraId="24502819">
      <w:pPr>
        <w:jc w:val="left"/>
        <w:rPr>
          <w:rFonts w:hint="eastAsia" w:ascii="宋体" w:hAnsi="宋体" w:eastAsia="宋体" w:cs="宋体"/>
          <w:b/>
          <w:bCs/>
          <w:color w:val="auto"/>
          <w:sz w:val="30"/>
          <w:szCs w:val="30"/>
          <w:highlight w:val="none"/>
          <w:lang w:eastAsia="zh-CN"/>
        </w:rPr>
      </w:pPr>
    </w:p>
    <w:p w14:paraId="19552681">
      <w:pPr>
        <w:jc w:val="left"/>
        <w:rPr>
          <w:rFonts w:hint="eastAsia" w:ascii="宋体" w:hAnsi="宋体" w:eastAsia="宋体" w:cs="宋体"/>
          <w:b/>
          <w:bCs/>
          <w:color w:val="auto"/>
          <w:sz w:val="30"/>
          <w:szCs w:val="30"/>
          <w:highlight w:val="none"/>
          <w:lang w:eastAsia="zh-CN"/>
        </w:rPr>
      </w:pPr>
    </w:p>
    <w:p w14:paraId="5E3977C7">
      <w:pPr>
        <w:jc w:val="left"/>
        <w:rPr>
          <w:rFonts w:hint="eastAsia" w:ascii="宋体" w:hAnsi="宋体" w:eastAsia="宋体" w:cs="宋体"/>
          <w:b/>
          <w:bCs/>
          <w:color w:val="auto"/>
          <w:sz w:val="30"/>
          <w:szCs w:val="30"/>
          <w:highlight w:val="none"/>
          <w:lang w:eastAsia="zh-CN"/>
        </w:rPr>
      </w:pPr>
    </w:p>
    <w:p w14:paraId="4EA3C7EE">
      <w:pPr>
        <w:jc w:val="left"/>
        <w:rPr>
          <w:rFonts w:hint="eastAsia" w:ascii="宋体" w:hAnsi="宋体" w:eastAsia="宋体" w:cs="宋体"/>
          <w:b/>
          <w:bCs/>
          <w:color w:val="auto"/>
          <w:sz w:val="30"/>
          <w:szCs w:val="30"/>
          <w:highlight w:val="none"/>
          <w:lang w:eastAsia="zh-CN"/>
        </w:rPr>
      </w:pPr>
    </w:p>
    <w:p w14:paraId="279FECD4">
      <w:pPr>
        <w:jc w:val="left"/>
        <w:rPr>
          <w:rFonts w:hint="eastAsia" w:ascii="宋体" w:hAnsi="宋体" w:eastAsia="宋体" w:cs="宋体"/>
          <w:b/>
          <w:bCs/>
          <w:color w:val="auto"/>
          <w:sz w:val="30"/>
          <w:szCs w:val="30"/>
          <w:highlight w:val="none"/>
          <w:lang w:eastAsia="zh-CN"/>
        </w:rPr>
      </w:pPr>
    </w:p>
    <w:p w14:paraId="5B143965">
      <w:pPr>
        <w:jc w:val="left"/>
        <w:rPr>
          <w:rFonts w:hint="eastAsia" w:ascii="宋体" w:hAnsi="宋体" w:eastAsia="宋体" w:cs="宋体"/>
          <w:b/>
          <w:bCs/>
          <w:color w:val="auto"/>
          <w:sz w:val="30"/>
          <w:szCs w:val="30"/>
          <w:highlight w:val="none"/>
          <w:lang w:eastAsia="zh-CN"/>
        </w:rPr>
      </w:pPr>
    </w:p>
    <w:p w14:paraId="62BA1288">
      <w:pPr>
        <w:jc w:val="left"/>
        <w:rPr>
          <w:rFonts w:hint="eastAsia" w:ascii="宋体" w:hAnsi="宋体" w:eastAsia="宋体" w:cs="宋体"/>
          <w:b/>
          <w:bCs/>
          <w:color w:val="auto"/>
          <w:sz w:val="30"/>
          <w:szCs w:val="30"/>
          <w:highlight w:val="none"/>
          <w:lang w:eastAsia="zh-CN"/>
        </w:rPr>
      </w:pPr>
    </w:p>
    <w:p w14:paraId="0F67CF3F">
      <w:pPr>
        <w:pStyle w:val="2"/>
        <w:rPr>
          <w:rFonts w:hint="eastAsia" w:ascii="宋体" w:hAnsi="宋体" w:eastAsia="宋体" w:cs="宋体"/>
          <w:b/>
          <w:bCs/>
          <w:color w:val="auto"/>
          <w:sz w:val="30"/>
          <w:szCs w:val="30"/>
          <w:highlight w:val="none"/>
          <w:lang w:eastAsia="zh-CN"/>
        </w:rPr>
      </w:pPr>
    </w:p>
    <w:p w14:paraId="77C42675">
      <w:pPr>
        <w:pStyle w:val="3"/>
        <w:rPr>
          <w:rFonts w:hint="eastAsia" w:ascii="宋体" w:hAnsi="宋体" w:eastAsia="宋体" w:cs="宋体"/>
          <w:color w:val="auto"/>
          <w:sz w:val="24"/>
          <w:szCs w:val="24"/>
          <w:highlight w:val="none"/>
          <w:lang w:eastAsia="zh-CN"/>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黑体"/>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29D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972F5">
                          <w:pPr>
                            <w:pStyle w:val="12"/>
                            <w:rPr>
                              <w:rStyle w:val="22"/>
                            </w:rPr>
                          </w:pPr>
                          <w:r>
                            <w:fldChar w:fldCharType="begin"/>
                          </w:r>
                          <w:r>
                            <w:rPr>
                              <w:rStyle w:val="22"/>
                            </w:rPr>
                            <w:instrText xml:space="preserve">PAGE  </w:instrText>
                          </w:r>
                          <w:r>
                            <w:fldChar w:fldCharType="separate"/>
                          </w:r>
                          <w:r>
                            <w:rPr>
                              <w:rStyle w:val="22"/>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B972F5">
                    <w:pPr>
                      <w:pStyle w:val="12"/>
                      <w:rPr>
                        <w:rStyle w:val="22"/>
                      </w:rPr>
                    </w:pPr>
                    <w:r>
                      <w:fldChar w:fldCharType="begin"/>
                    </w:r>
                    <w:r>
                      <w:rPr>
                        <w:rStyle w:val="22"/>
                      </w:rPr>
                      <w:instrText xml:space="preserve">PAGE  </w:instrText>
                    </w:r>
                    <w:r>
                      <w:fldChar w:fldCharType="separate"/>
                    </w:r>
                    <w:r>
                      <w:rPr>
                        <w:rStyle w:val="2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239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32B4E">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632B4E">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BE9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1C438"/>
    <w:multiLevelType w:val="singleLevel"/>
    <w:tmpl w:val="B901C438"/>
    <w:lvl w:ilvl="0" w:tentative="0">
      <w:start w:val="1"/>
      <w:numFmt w:val="decimal"/>
      <w:suff w:val="nothing"/>
      <w:lvlText w:val="%1、"/>
      <w:lvlJc w:val="left"/>
    </w:lvl>
  </w:abstractNum>
  <w:abstractNum w:abstractNumId="1">
    <w:nsid w:val="D4BD15CC"/>
    <w:multiLevelType w:val="singleLevel"/>
    <w:tmpl w:val="D4BD15CC"/>
    <w:lvl w:ilvl="0" w:tentative="0">
      <w:start w:val="1"/>
      <w:numFmt w:val="decimal"/>
      <w:suff w:val="nothing"/>
      <w:lvlText w:val="%1、"/>
      <w:lvlJc w:val="left"/>
    </w:lvl>
  </w:abstractNum>
  <w:abstractNum w:abstractNumId="2">
    <w:nsid w:val="ECA6D9D5"/>
    <w:multiLevelType w:val="singleLevel"/>
    <w:tmpl w:val="ECA6D9D5"/>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1"/>
      <w:numFmt w:val="japaneseCounting"/>
      <w:lvlText w:val="%1、"/>
      <w:lvlJc w:val="left"/>
      <w:pPr>
        <w:tabs>
          <w:tab w:val="left" w:pos="720"/>
        </w:tabs>
        <w:ind w:left="832" w:hanging="72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E1081"/>
    <w:multiLevelType w:val="singleLevel"/>
    <w:tmpl w:val="5A1E1081"/>
    <w:lvl w:ilvl="0" w:tentative="0">
      <w:start w:val="2"/>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ZWIwMzg4N2IzNGIzOWFmNjkxYjM5ODJkOWEzZTkifQ=="/>
  </w:docVars>
  <w:rsids>
    <w:rsidRoot w:val="006C0479"/>
    <w:rsid w:val="00171656"/>
    <w:rsid w:val="001C4C51"/>
    <w:rsid w:val="001F2E95"/>
    <w:rsid w:val="0032794C"/>
    <w:rsid w:val="003A6B66"/>
    <w:rsid w:val="004272B4"/>
    <w:rsid w:val="004A6C9B"/>
    <w:rsid w:val="004C5468"/>
    <w:rsid w:val="00620683"/>
    <w:rsid w:val="00675481"/>
    <w:rsid w:val="006A5CB3"/>
    <w:rsid w:val="006C0479"/>
    <w:rsid w:val="00823A2F"/>
    <w:rsid w:val="00984E1C"/>
    <w:rsid w:val="00A30F61"/>
    <w:rsid w:val="00CD756D"/>
    <w:rsid w:val="00CE3D17"/>
    <w:rsid w:val="00CF0ABA"/>
    <w:rsid w:val="00D82492"/>
    <w:rsid w:val="00E15234"/>
    <w:rsid w:val="00F33D3A"/>
    <w:rsid w:val="00F462B4"/>
    <w:rsid w:val="01785570"/>
    <w:rsid w:val="01AF0E8E"/>
    <w:rsid w:val="01B70CC2"/>
    <w:rsid w:val="01BE7323"/>
    <w:rsid w:val="01C74C7E"/>
    <w:rsid w:val="01EE7C08"/>
    <w:rsid w:val="01F62F61"/>
    <w:rsid w:val="01FD7E4B"/>
    <w:rsid w:val="02056D00"/>
    <w:rsid w:val="021148A8"/>
    <w:rsid w:val="02134A97"/>
    <w:rsid w:val="02244CE9"/>
    <w:rsid w:val="0225425E"/>
    <w:rsid w:val="02305555"/>
    <w:rsid w:val="023E625F"/>
    <w:rsid w:val="025A737D"/>
    <w:rsid w:val="027A5940"/>
    <w:rsid w:val="02897931"/>
    <w:rsid w:val="02BD5FD4"/>
    <w:rsid w:val="02D301A1"/>
    <w:rsid w:val="02E4100B"/>
    <w:rsid w:val="02F52A50"/>
    <w:rsid w:val="0348159A"/>
    <w:rsid w:val="035D697B"/>
    <w:rsid w:val="036412FD"/>
    <w:rsid w:val="0397607D"/>
    <w:rsid w:val="03977E2B"/>
    <w:rsid w:val="03B804CE"/>
    <w:rsid w:val="03C2759E"/>
    <w:rsid w:val="03C43552"/>
    <w:rsid w:val="03C76963"/>
    <w:rsid w:val="03DD6186"/>
    <w:rsid w:val="03EA5E52"/>
    <w:rsid w:val="03F83F01"/>
    <w:rsid w:val="04543D1E"/>
    <w:rsid w:val="045B70AB"/>
    <w:rsid w:val="0467062B"/>
    <w:rsid w:val="04EF5DE6"/>
    <w:rsid w:val="052678B7"/>
    <w:rsid w:val="05444DBA"/>
    <w:rsid w:val="05887B78"/>
    <w:rsid w:val="05A174BF"/>
    <w:rsid w:val="05D13AC9"/>
    <w:rsid w:val="05D5753C"/>
    <w:rsid w:val="05D6640E"/>
    <w:rsid w:val="05E20521"/>
    <w:rsid w:val="05FA361A"/>
    <w:rsid w:val="06487227"/>
    <w:rsid w:val="06706889"/>
    <w:rsid w:val="06823015"/>
    <w:rsid w:val="06B156A8"/>
    <w:rsid w:val="06CC5B3F"/>
    <w:rsid w:val="06FA0DD9"/>
    <w:rsid w:val="07181DA2"/>
    <w:rsid w:val="072E5A17"/>
    <w:rsid w:val="074A24FD"/>
    <w:rsid w:val="0754675F"/>
    <w:rsid w:val="077706A0"/>
    <w:rsid w:val="07B0770E"/>
    <w:rsid w:val="07B611C8"/>
    <w:rsid w:val="07E94731"/>
    <w:rsid w:val="07F92E63"/>
    <w:rsid w:val="08057054"/>
    <w:rsid w:val="08280F66"/>
    <w:rsid w:val="085C0DB2"/>
    <w:rsid w:val="08901A19"/>
    <w:rsid w:val="089963F4"/>
    <w:rsid w:val="08C47915"/>
    <w:rsid w:val="090C3DE8"/>
    <w:rsid w:val="091F0FEF"/>
    <w:rsid w:val="09561746"/>
    <w:rsid w:val="09B259BF"/>
    <w:rsid w:val="09F54B89"/>
    <w:rsid w:val="09FC453F"/>
    <w:rsid w:val="09FF5ECD"/>
    <w:rsid w:val="0AB85723"/>
    <w:rsid w:val="0AD66408"/>
    <w:rsid w:val="0AE147AE"/>
    <w:rsid w:val="0AFA3B5B"/>
    <w:rsid w:val="0B79368E"/>
    <w:rsid w:val="0B7A075E"/>
    <w:rsid w:val="0BC669F3"/>
    <w:rsid w:val="0BD06743"/>
    <w:rsid w:val="0BE1433A"/>
    <w:rsid w:val="0BE61105"/>
    <w:rsid w:val="0BF24D4D"/>
    <w:rsid w:val="0BFB189F"/>
    <w:rsid w:val="0C001D59"/>
    <w:rsid w:val="0C082381"/>
    <w:rsid w:val="0C2A4A77"/>
    <w:rsid w:val="0C421E8C"/>
    <w:rsid w:val="0C444873"/>
    <w:rsid w:val="0C541A4D"/>
    <w:rsid w:val="0C676C2C"/>
    <w:rsid w:val="0C992075"/>
    <w:rsid w:val="0C9B6D74"/>
    <w:rsid w:val="0C9B7697"/>
    <w:rsid w:val="0CC21526"/>
    <w:rsid w:val="0CC46135"/>
    <w:rsid w:val="0CCA74C4"/>
    <w:rsid w:val="0CDF1C65"/>
    <w:rsid w:val="0CEC743A"/>
    <w:rsid w:val="0D004C93"/>
    <w:rsid w:val="0D0C53E6"/>
    <w:rsid w:val="0D4558F7"/>
    <w:rsid w:val="0D47360B"/>
    <w:rsid w:val="0DA90E87"/>
    <w:rsid w:val="0DB717F6"/>
    <w:rsid w:val="0E107158"/>
    <w:rsid w:val="0E4D215A"/>
    <w:rsid w:val="0E5B6625"/>
    <w:rsid w:val="0E650E52"/>
    <w:rsid w:val="0E71229F"/>
    <w:rsid w:val="0E903CEC"/>
    <w:rsid w:val="0EAE69D7"/>
    <w:rsid w:val="0EE91E83"/>
    <w:rsid w:val="0EF1620F"/>
    <w:rsid w:val="0F222EF3"/>
    <w:rsid w:val="0F2C6214"/>
    <w:rsid w:val="0F4336C6"/>
    <w:rsid w:val="0F4B7FD8"/>
    <w:rsid w:val="0F6C6610"/>
    <w:rsid w:val="0F87344A"/>
    <w:rsid w:val="0F9977AB"/>
    <w:rsid w:val="0FC85F3C"/>
    <w:rsid w:val="0FD056C0"/>
    <w:rsid w:val="0FD41F8C"/>
    <w:rsid w:val="0FE678FE"/>
    <w:rsid w:val="102564F4"/>
    <w:rsid w:val="102E38C6"/>
    <w:rsid w:val="1034712E"/>
    <w:rsid w:val="104A4BA3"/>
    <w:rsid w:val="105249FD"/>
    <w:rsid w:val="108906C1"/>
    <w:rsid w:val="108B130F"/>
    <w:rsid w:val="10962634"/>
    <w:rsid w:val="10B22749"/>
    <w:rsid w:val="10E24846"/>
    <w:rsid w:val="10E33DE5"/>
    <w:rsid w:val="10E62DCA"/>
    <w:rsid w:val="10E70311"/>
    <w:rsid w:val="112C6057"/>
    <w:rsid w:val="113323B2"/>
    <w:rsid w:val="11586E4C"/>
    <w:rsid w:val="11DD37F5"/>
    <w:rsid w:val="11E5675B"/>
    <w:rsid w:val="11EA4F9D"/>
    <w:rsid w:val="11F428F3"/>
    <w:rsid w:val="12001347"/>
    <w:rsid w:val="12340EC2"/>
    <w:rsid w:val="123A31B7"/>
    <w:rsid w:val="12837EF9"/>
    <w:rsid w:val="128F15C7"/>
    <w:rsid w:val="129465AA"/>
    <w:rsid w:val="12BD4B38"/>
    <w:rsid w:val="12BE3627"/>
    <w:rsid w:val="12C60256"/>
    <w:rsid w:val="132A21E4"/>
    <w:rsid w:val="136E2957"/>
    <w:rsid w:val="13827B7C"/>
    <w:rsid w:val="13863C39"/>
    <w:rsid w:val="13900156"/>
    <w:rsid w:val="13905967"/>
    <w:rsid w:val="13C702B9"/>
    <w:rsid w:val="13CE1647"/>
    <w:rsid w:val="13E9022F"/>
    <w:rsid w:val="13F600B9"/>
    <w:rsid w:val="141D612B"/>
    <w:rsid w:val="14261483"/>
    <w:rsid w:val="146401FE"/>
    <w:rsid w:val="146D51DC"/>
    <w:rsid w:val="14A81416"/>
    <w:rsid w:val="150177FB"/>
    <w:rsid w:val="15204125"/>
    <w:rsid w:val="15347BD0"/>
    <w:rsid w:val="154D24D2"/>
    <w:rsid w:val="15582A02"/>
    <w:rsid w:val="15714980"/>
    <w:rsid w:val="15AA5BB2"/>
    <w:rsid w:val="15CF1017"/>
    <w:rsid w:val="15CF238A"/>
    <w:rsid w:val="15EA64E1"/>
    <w:rsid w:val="160B6B83"/>
    <w:rsid w:val="160C756B"/>
    <w:rsid w:val="16105F47"/>
    <w:rsid w:val="161E4CFA"/>
    <w:rsid w:val="162C6AF9"/>
    <w:rsid w:val="165E0D74"/>
    <w:rsid w:val="168A2AF7"/>
    <w:rsid w:val="169166B8"/>
    <w:rsid w:val="16AD19E8"/>
    <w:rsid w:val="16C17567"/>
    <w:rsid w:val="16C44F84"/>
    <w:rsid w:val="170E3951"/>
    <w:rsid w:val="171B2DF6"/>
    <w:rsid w:val="1734545C"/>
    <w:rsid w:val="176448E6"/>
    <w:rsid w:val="176F4EEF"/>
    <w:rsid w:val="177644D0"/>
    <w:rsid w:val="17AB7911"/>
    <w:rsid w:val="17B27A7D"/>
    <w:rsid w:val="17D31922"/>
    <w:rsid w:val="17E0694B"/>
    <w:rsid w:val="18386F0B"/>
    <w:rsid w:val="18522325"/>
    <w:rsid w:val="18564BDF"/>
    <w:rsid w:val="186A1692"/>
    <w:rsid w:val="18890233"/>
    <w:rsid w:val="18A86182"/>
    <w:rsid w:val="18BB3521"/>
    <w:rsid w:val="18DD2B45"/>
    <w:rsid w:val="190D769B"/>
    <w:rsid w:val="19377C8F"/>
    <w:rsid w:val="195C76F5"/>
    <w:rsid w:val="195E16BF"/>
    <w:rsid w:val="197C1B46"/>
    <w:rsid w:val="198C6648"/>
    <w:rsid w:val="199E7D0E"/>
    <w:rsid w:val="19C40B5A"/>
    <w:rsid w:val="19DB686C"/>
    <w:rsid w:val="19E0772D"/>
    <w:rsid w:val="1A0E3162"/>
    <w:rsid w:val="1A113A55"/>
    <w:rsid w:val="1A126F7E"/>
    <w:rsid w:val="1A2024D1"/>
    <w:rsid w:val="1A330456"/>
    <w:rsid w:val="1A6227C5"/>
    <w:rsid w:val="1A846F04"/>
    <w:rsid w:val="1AB765E6"/>
    <w:rsid w:val="1B063DBD"/>
    <w:rsid w:val="1B1E4E3E"/>
    <w:rsid w:val="1B4F12C0"/>
    <w:rsid w:val="1B636B19"/>
    <w:rsid w:val="1B866036"/>
    <w:rsid w:val="1BCA303C"/>
    <w:rsid w:val="1BD25A4D"/>
    <w:rsid w:val="1BE753BD"/>
    <w:rsid w:val="1BFA16B0"/>
    <w:rsid w:val="1C0A3439"/>
    <w:rsid w:val="1C2151FC"/>
    <w:rsid w:val="1C5A5B29"/>
    <w:rsid w:val="1C6D1D74"/>
    <w:rsid w:val="1C730FDE"/>
    <w:rsid w:val="1CB810E7"/>
    <w:rsid w:val="1D095967"/>
    <w:rsid w:val="1D115274"/>
    <w:rsid w:val="1D48246B"/>
    <w:rsid w:val="1D49323E"/>
    <w:rsid w:val="1D596426"/>
    <w:rsid w:val="1D5D4C54"/>
    <w:rsid w:val="1D725739"/>
    <w:rsid w:val="1D8B2357"/>
    <w:rsid w:val="1DA7606E"/>
    <w:rsid w:val="1DD309C6"/>
    <w:rsid w:val="1DF63F60"/>
    <w:rsid w:val="1E0A7720"/>
    <w:rsid w:val="1E330014"/>
    <w:rsid w:val="1E485CD4"/>
    <w:rsid w:val="1E58492F"/>
    <w:rsid w:val="1E5E79E1"/>
    <w:rsid w:val="1E941420"/>
    <w:rsid w:val="1F0E4FEE"/>
    <w:rsid w:val="1F2D7B6A"/>
    <w:rsid w:val="1F6A3CE1"/>
    <w:rsid w:val="1FB57938"/>
    <w:rsid w:val="1FE834A9"/>
    <w:rsid w:val="1FFB2B36"/>
    <w:rsid w:val="20000F8A"/>
    <w:rsid w:val="2039200A"/>
    <w:rsid w:val="20541126"/>
    <w:rsid w:val="20546F66"/>
    <w:rsid w:val="20593077"/>
    <w:rsid w:val="205C5182"/>
    <w:rsid w:val="20607ACB"/>
    <w:rsid w:val="206144E5"/>
    <w:rsid w:val="207B4B5A"/>
    <w:rsid w:val="208E4324"/>
    <w:rsid w:val="209E05F3"/>
    <w:rsid w:val="20A27B39"/>
    <w:rsid w:val="20CE5619"/>
    <w:rsid w:val="20D33EC0"/>
    <w:rsid w:val="20E34258"/>
    <w:rsid w:val="20EA2C53"/>
    <w:rsid w:val="20EE50D7"/>
    <w:rsid w:val="20EF2BFD"/>
    <w:rsid w:val="21155E47"/>
    <w:rsid w:val="2140571C"/>
    <w:rsid w:val="216C4E14"/>
    <w:rsid w:val="217A696B"/>
    <w:rsid w:val="217F6677"/>
    <w:rsid w:val="21B95508"/>
    <w:rsid w:val="21C10A3D"/>
    <w:rsid w:val="21F4671D"/>
    <w:rsid w:val="2262082B"/>
    <w:rsid w:val="228928AA"/>
    <w:rsid w:val="22B83BEE"/>
    <w:rsid w:val="22BD2FB3"/>
    <w:rsid w:val="22E663E7"/>
    <w:rsid w:val="22F03CA3"/>
    <w:rsid w:val="2314388C"/>
    <w:rsid w:val="232F19D7"/>
    <w:rsid w:val="23445C77"/>
    <w:rsid w:val="23515DF1"/>
    <w:rsid w:val="23522663"/>
    <w:rsid w:val="23553507"/>
    <w:rsid w:val="235D3E5B"/>
    <w:rsid w:val="23890E36"/>
    <w:rsid w:val="23D2011D"/>
    <w:rsid w:val="23D26F32"/>
    <w:rsid w:val="23FC3FAF"/>
    <w:rsid w:val="241348A8"/>
    <w:rsid w:val="24A81A41"/>
    <w:rsid w:val="24CA5E5B"/>
    <w:rsid w:val="24CF43EB"/>
    <w:rsid w:val="24DE36B4"/>
    <w:rsid w:val="24FB3C07"/>
    <w:rsid w:val="24FD7FDE"/>
    <w:rsid w:val="250824DF"/>
    <w:rsid w:val="253A5C63"/>
    <w:rsid w:val="253F68C5"/>
    <w:rsid w:val="25AF0F5C"/>
    <w:rsid w:val="26256EA1"/>
    <w:rsid w:val="26467763"/>
    <w:rsid w:val="26555A7C"/>
    <w:rsid w:val="2657371E"/>
    <w:rsid w:val="2673350C"/>
    <w:rsid w:val="26AD1590"/>
    <w:rsid w:val="26D1527F"/>
    <w:rsid w:val="26D233BC"/>
    <w:rsid w:val="26D42FC1"/>
    <w:rsid w:val="26EC030B"/>
    <w:rsid w:val="26EF3957"/>
    <w:rsid w:val="272D0020"/>
    <w:rsid w:val="272E5E18"/>
    <w:rsid w:val="279B26FE"/>
    <w:rsid w:val="27BD7375"/>
    <w:rsid w:val="27D112AE"/>
    <w:rsid w:val="27D538D8"/>
    <w:rsid w:val="27DB1BBD"/>
    <w:rsid w:val="280D5A34"/>
    <w:rsid w:val="28180C8B"/>
    <w:rsid w:val="284E0B51"/>
    <w:rsid w:val="284F14FE"/>
    <w:rsid w:val="287627CF"/>
    <w:rsid w:val="288F53F1"/>
    <w:rsid w:val="28942A08"/>
    <w:rsid w:val="28985F92"/>
    <w:rsid w:val="289F63B2"/>
    <w:rsid w:val="28C01A4F"/>
    <w:rsid w:val="28C2299D"/>
    <w:rsid w:val="28F323AE"/>
    <w:rsid w:val="291F631C"/>
    <w:rsid w:val="295977AD"/>
    <w:rsid w:val="298130FF"/>
    <w:rsid w:val="29C235A5"/>
    <w:rsid w:val="29D80498"/>
    <w:rsid w:val="29DD218D"/>
    <w:rsid w:val="29E7300B"/>
    <w:rsid w:val="2A005E7B"/>
    <w:rsid w:val="2A140352"/>
    <w:rsid w:val="2A2E0C3A"/>
    <w:rsid w:val="2A3F37A7"/>
    <w:rsid w:val="2A45764B"/>
    <w:rsid w:val="2A4A2EC1"/>
    <w:rsid w:val="2A516E5D"/>
    <w:rsid w:val="2A5306E5"/>
    <w:rsid w:val="2A5341FD"/>
    <w:rsid w:val="2A5F7045"/>
    <w:rsid w:val="2AB24207"/>
    <w:rsid w:val="2AC808C0"/>
    <w:rsid w:val="2ACF41CB"/>
    <w:rsid w:val="2AD6555A"/>
    <w:rsid w:val="2AF35CDA"/>
    <w:rsid w:val="2B023B64"/>
    <w:rsid w:val="2B083239"/>
    <w:rsid w:val="2B1971F4"/>
    <w:rsid w:val="2B400DAF"/>
    <w:rsid w:val="2B7D348A"/>
    <w:rsid w:val="2B7E174D"/>
    <w:rsid w:val="2BAB701C"/>
    <w:rsid w:val="2BD15D21"/>
    <w:rsid w:val="2BDA6227"/>
    <w:rsid w:val="2BE21CDC"/>
    <w:rsid w:val="2C1125C1"/>
    <w:rsid w:val="2C2922D7"/>
    <w:rsid w:val="2C73742E"/>
    <w:rsid w:val="2C862667"/>
    <w:rsid w:val="2CBA651B"/>
    <w:rsid w:val="2CC15D95"/>
    <w:rsid w:val="2CC47634"/>
    <w:rsid w:val="2CCB09C2"/>
    <w:rsid w:val="2CDC7A4B"/>
    <w:rsid w:val="2CE738D7"/>
    <w:rsid w:val="2CF77A09"/>
    <w:rsid w:val="2D20606D"/>
    <w:rsid w:val="2D33548F"/>
    <w:rsid w:val="2D3E1194"/>
    <w:rsid w:val="2D456BE2"/>
    <w:rsid w:val="2D6F25A7"/>
    <w:rsid w:val="2DC31699"/>
    <w:rsid w:val="2DF302D1"/>
    <w:rsid w:val="2E0921A9"/>
    <w:rsid w:val="2E3330F3"/>
    <w:rsid w:val="2E6E0D24"/>
    <w:rsid w:val="2E9276CB"/>
    <w:rsid w:val="2EE45D6B"/>
    <w:rsid w:val="2F070287"/>
    <w:rsid w:val="2F0F0371"/>
    <w:rsid w:val="2F306624"/>
    <w:rsid w:val="2F391645"/>
    <w:rsid w:val="2F8A0CAB"/>
    <w:rsid w:val="2F9B0B20"/>
    <w:rsid w:val="2F9C03F4"/>
    <w:rsid w:val="2FB00636"/>
    <w:rsid w:val="2FB91A43"/>
    <w:rsid w:val="2FCA5EB2"/>
    <w:rsid w:val="2FCF4325"/>
    <w:rsid w:val="301B3A0F"/>
    <w:rsid w:val="306B04F2"/>
    <w:rsid w:val="306C339E"/>
    <w:rsid w:val="30A13F14"/>
    <w:rsid w:val="30A270C9"/>
    <w:rsid w:val="30D93AC8"/>
    <w:rsid w:val="30DD25F8"/>
    <w:rsid w:val="30F20F01"/>
    <w:rsid w:val="311A3C53"/>
    <w:rsid w:val="313E79B5"/>
    <w:rsid w:val="3145389E"/>
    <w:rsid w:val="31470CB7"/>
    <w:rsid w:val="31594775"/>
    <w:rsid w:val="3163566D"/>
    <w:rsid w:val="317A34F0"/>
    <w:rsid w:val="31885988"/>
    <w:rsid w:val="31AC1DEB"/>
    <w:rsid w:val="31B732C3"/>
    <w:rsid w:val="31C970ED"/>
    <w:rsid w:val="31DE5041"/>
    <w:rsid w:val="32195D2C"/>
    <w:rsid w:val="321F2C5E"/>
    <w:rsid w:val="32377BF7"/>
    <w:rsid w:val="3268585D"/>
    <w:rsid w:val="327F7F0F"/>
    <w:rsid w:val="32980A05"/>
    <w:rsid w:val="329830F5"/>
    <w:rsid w:val="32DC56D7"/>
    <w:rsid w:val="32E21815"/>
    <w:rsid w:val="32E4633A"/>
    <w:rsid w:val="331B7ADD"/>
    <w:rsid w:val="33462B51"/>
    <w:rsid w:val="3389020C"/>
    <w:rsid w:val="33BE01F6"/>
    <w:rsid w:val="33EA4E4D"/>
    <w:rsid w:val="34063946"/>
    <w:rsid w:val="344640AC"/>
    <w:rsid w:val="34565015"/>
    <w:rsid w:val="34627C99"/>
    <w:rsid w:val="346D22EA"/>
    <w:rsid w:val="34E356FA"/>
    <w:rsid w:val="35305866"/>
    <w:rsid w:val="353C799D"/>
    <w:rsid w:val="35487054"/>
    <w:rsid w:val="35653005"/>
    <w:rsid w:val="35753BC1"/>
    <w:rsid w:val="35A70F55"/>
    <w:rsid w:val="35AE20F8"/>
    <w:rsid w:val="35B75F88"/>
    <w:rsid w:val="35B819DB"/>
    <w:rsid w:val="36062A6B"/>
    <w:rsid w:val="360A255B"/>
    <w:rsid w:val="365E4655"/>
    <w:rsid w:val="36761374"/>
    <w:rsid w:val="369411B6"/>
    <w:rsid w:val="36C2432B"/>
    <w:rsid w:val="36C812F7"/>
    <w:rsid w:val="36C90395"/>
    <w:rsid w:val="371D123D"/>
    <w:rsid w:val="373135E0"/>
    <w:rsid w:val="37421C4F"/>
    <w:rsid w:val="37B54749"/>
    <w:rsid w:val="37D44BCF"/>
    <w:rsid w:val="37DC7F27"/>
    <w:rsid w:val="382D4051"/>
    <w:rsid w:val="383C09C6"/>
    <w:rsid w:val="38683569"/>
    <w:rsid w:val="388F6D48"/>
    <w:rsid w:val="393A3F57"/>
    <w:rsid w:val="395724AC"/>
    <w:rsid w:val="39643D30"/>
    <w:rsid w:val="39663F4D"/>
    <w:rsid w:val="397D02D4"/>
    <w:rsid w:val="39804459"/>
    <w:rsid w:val="399F3513"/>
    <w:rsid w:val="39D96DB9"/>
    <w:rsid w:val="3A2636DC"/>
    <w:rsid w:val="3A347BA7"/>
    <w:rsid w:val="3A3B18D4"/>
    <w:rsid w:val="3A500759"/>
    <w:rsid w:val="3A506339"/>
    <w:rsid w:val="3A744EE5"/>
    <w:rsid w:val="3A8730BD"/>
    <w:rsid w:val="3AC90D91"/>
    <w:rsid w:val="3AD969A0"/>
    <w:rsid w:val="3ADD4291"/>
    <w:rsid w:val="3B3715E6"/>
    <w:rsid w:val="3B4A3E98"/>
    <w:rsid w:val="3B5443CE"/>
    <w:rsid w:val="3B7B5862"/>
    <w:rsid w:val="3B832327"/>
    <w:rsid w:val="3BA53BD2"/>
    <w:rsid w:val="3BB371F1"/>
    <w:rsid w:val="3BB46DA9"/>
    <w:rsid w:val="3BED44B1"/>
    <w:rsid w:val="3BF44347"/>
    <w:rsid w:val="3BFD0102"/>
    <w:rsid w:val="3C0C4D5B"/>
    <w:rsid w:val="3C1F03E3"/>
    <w:rsid w:val="3C2A11A0"/>
    <w:rsid w:val="3C3B6A6F"/>
    <w:rsid w:val="3C4E1C97"/>
    <w:rsid w:val="3C647DBD"/>
    <w:rsid w:val="3C797AF3"/>
    <w:rsid w:val="3CA408E8"/>
    <w:rsid w:val="3CBA010B"/>
    <w:rsid w:val="3CC32FB0"/>
    <w:rsid w:val="3CDB255C"/>
    <w:rsid w:val="3D117C6B"/>
    <w:rsid w:val="3D1B32A0"/>
    <w:rsid w:val="3D23371B"/>
    <w:rsid w:val="3D2F0AF9"/>
    <w:rsid w:val="3D391940"/>
    <w:rsid w:val="3D4C5E8E"/>
    <w:rsid w:val="3D6F172A"/>
    <w:rsid w:val="3DB159B2"/>
    <w:rsid w:val="3DBC7C53"/>
    <w:rsid w:val="3DE03BA2"/>
    <w:rsid w:val="3DE43692"/>
    <w:rsid w:val="3DF8661A"/>
    <w:rsid w:val="3E157CEF"/>
    <w:rsid w:val="3E23360C"/>
    <w:rsid w:val="3E2E662D"/>
    <w:rsid w:val="3E3A1504"/>
    <w:rsid w:val="3E3C48C9"/>
    <w:rsid w:val="3E3F2623"/>
    <w:rsid w:val="3E4242FE"/>
    <w:rsid w:val="3E5E074C"/>
    <w:rsid w:val="3E5F0F6A"/>
    <w:rsid w:val="3E703177"/>
    <w:rsid w:val="3E886713"/>
    <w:rsid w:val="3E9500FC"/>
    <w:rsid w:val="3EB23790"/>
    <w:rsid w:val="3EB63280"/>
    <w:rsid w:val="3EEB0A50"/>
    <w:rsid w:val="3EF52089"/>
    <w:rsid w:val="3EFD2755"/>
    <w:rsid w:val="3F0C10F2"/>
    <w:rsid w:val="3F0D2488"/>
    <w:rsid w:val="3F3917BB"/>
    <w:rsid w:val="3F7722E4"/>
    <w:rsid w:val="3FA07A8C"/>
    <w:rsid w:val="3FB55D51"/>
    <w:rsid w:val="3FBA29FF"/>
    <w:rsid w:val="3FF65710"/>
    <w:rsid w:val="402E6E46"/>
    <w:rsid w:val="40A90944"/>
    <w:rsid w:val="40B437EF"/>
    <w:rsid w:val="40BC6A57"/>
    <w:rsid w:val="40C157C1"/>
    <w:rsid w:val="40EB4D37"/>
    <w:rsid w:val="41073393"/>
    <w:rsid w:val="41405083"/>
    <w:rsid w:val="416C5E78"/>
    <w:rsid w:val="41793BB1"/>
    <w:rsid w:val="41847666"/>
    <w:rsid w:val="418D4040"/>
    <w:rsid w:val="41F320F5"/>
    <w:rsid w:val="420460B1"/>
    <w:rsid w:val="42074141"/>
    <w:rsid w:val="426F5257"/>
    <w:rsid w:val="42707BEA"/>
    <w:rsid w:val="427B6D8D"/>
    <w:rsid w:val="42AE16CD"/>
    <w:rsid w:val="42BD70A3"/>
    <w:rsid w:val="42C01F39"/>
    <w:rsid w:val="42C6529E"/>
    <w:rsid w:val="42CD7E55"/>
    <w:rsid w:val="42FE1E86"/>
    <w:rsid w:val="430A3EE5"/>
    <w:rsid w:val="43211982"/>
    <w:rsid w:val="43236A0A"/>
    <w:rsid w:val="43334A18"/>
    <w:rsid w:val="43574906"/>
    <w:rsid w:val="437C5724"/>
    <w:rsid w:val="439B47F3"/>
    <w:rsid w:val="43A7763B"/>
    <w:rsid w:val="43D363A6"/>
    <w:rsid w:val="43E22422"/>
    <w:rsid w:val="44075328"/>
    <w:rsid w:val="440A1978"/>
    <w:rsid w:val="446D58AB"/>
    <w:rsid w:val="447A2ECC"/>
    <w:rsid w:val="44A404D3"/>
    <w:rsid w:val="44B6166D"/>
    <w:rsid w:val="44CE6E4A"/>
    <w:rsid w:val="450A59BC"/>
    <w:rsid w:val="450C3C4E"/>
    <w:rsid w:val="4520206A"/>
    <w:rsid w:val="452341F6"/>
    <w:rsid w:val="45307391"/>
    <w:rsid w:val="454577F8"/>
    <w:rsid w:val="45531B2C"/>
    <w:rsid w:val="456738CB"/>
    <w:rsid w:val="456F4189"/>
    <w:rsid w:val="458853DA"/>
    <w:rsid w:val="45997458"/>
    <w:rsid w:val="45A51959"/>
    <w:rsid w:val="463F7FFF"/>
    <w:rsid w:val="465313B5"/>
    <w:rsid w:val="465D0485"/>
    <w:rsid w:val="466510E8"/>
    <w:rsid w:val="466C6EEB"/>
    <w:rsid w:val="469B2BD2"/>
    <w:rsid w:val="46A165C4"/>
    <w:rsid w:val="46BB0D9B"/>
    <w:rsid w:val="46EE732F"/>
    <w:rsid w:val="46F26AA2"/>
    <w:rsid w:val="47055D4F"/>
    <w:rsid w:val="47195F8F"/>
    <w:rsid w:val="47B33460"/>
    <w:rsid w:val="47B73353"/>
    <w:rsid w:val="47DA3D23"/>
    <w:rsid w:val="47F15329"/>
    <w:rsid w:val="48194880"/>
    <w:rsid w:val="48223734"/>
    <w:rsid w:val="48457423"/>
    <w:rsid w:val="48546AD3"/>
    <w:rsid w:val="488A40EF"/>
    <w:rsid w:val="48B91F49"/>
    <w:rsid w:val="48E56510"/>
    <w:rsid w:val="48F85A30"/>
    <w:rsid w:val="495F6869"/>
    <w:rsid w:val="49663AF5"/>
    <w:rsid w:val="49B52386"/>
    <w:rsid w:val="49C20D6C"/>
    <w:rsid w:val="49D942C7"/>
    <w:rsid w:val="49EC3FFA"/>
    <w:rsid w:val="49F25388"/>
    <w:rsid w:val="4A191ED4"/>
    <w:rsid w:val="4A4060F4"/>
    <w:rsid w:val="4A4E6A63"/>
    <w:rsid w:val="4A5B2F2E"/>
    <w:rsid w:val="4A677B24"/>
    <w:rsid w:val="4A897A9B"/>
    <w:rsid w:val="4AA30431"/>
    <w:rsid w:val="4AE4031D"/>
    <w:rsid w:val="4AEB2504"/>
    <w:rsid w:val="4AEF1AE6"/>
    <w:rsid w:val="4AEF3676"/>
    <w:rsid w:val="4AF71CFE"/>
    <w:rsid w:val="4B351BF8"/>
    <w:rsid w:val="4B542DEC"/>
    <w:rsid w:val="4B8F6347"/>
    <w:rsid w:val="4BC62629"/>
    <w:rsid w:val="4BC92119"/>
    <w:rsid w:val="4BD11568"/>
    <w:rsid w:val="4C051E41"/>
    <w:rsid w:val="4C0C278C"/>
    <w:rsid w:val="4C2938DC"/>
    <w:rsid w:val="4C6755B6"/>
    <w:rsid w:val="4C7D4EDE"/>
    <w:rsid w:val="4C922150"/>
    <w:rsid w:val="4CA85360"/>
    <w:rsid w:val="4CAF130F"/>
    <w:rsid w:val="4CE45977"/>
    <w:rsid w:val="4D072EF9"/>
    <w:rsid w:val="4D5223A9"/>
    <w:rsid w:val="4D5A74CD"/>
    <w:rsid w:val="4DD70B1D"/>
    <w:rsid w:val="4DFE254E"/>
    <w:rsid w:val="4E035DB6"/>
    <w:rsid w:val="4E332460"/>
    <w:rsid w:val="4E4275B8"/>
    <w:rsid w:val="4E4A131D"/>
    <w:rsid w:val="4E4E414A"/>
    <w:rsid w:val="4E5E4D9B"/>
    <w:rsid w:val="4EBE1CDD"/>
    <w:rsid w:val="4ED11A10"/>
    <w:rsid w:val="4EF31163"/>
    <w:rsid w:val="4EF52968"/>
    <w:rsid w:val="4F162F6E"/>
    <w:rsid w:val="4F1D07B2"/>
    <w:rsid w:val="4F2953A8"/>
    <w:rsid w:val="4F350314"/>
    <w:rsid w:val="4F4026F2"/>
    <w:rsid w:val="4F635546"/>
    <w:rsid w:val="4F736213"/>
    <w:rsid w:val="4FF457A0"/>
    <w:rsid w:val="4FFB7DA0"/>
    <w:rsid w:val="50013A5A"/>
    <w:rsid w:val="50016421"/>
    <w:rsid w:val="50090642"/>
    <w:rsid w:val="5033552D"/>
    <w:rsid w:val="504B57F2"/>
    <w:rsid w:val="50575F45"/>
    <w:rsid w:val="508272CC"/>
    <w:rsid w:val="50B74C36"/>
    <w:rsid w:val="50C3182D"/>
    <w:rsid w:val="50FA5D14"/>
    <w:rsid w:val="51022355"/>
    <w:rsid w:val="51087240"/>
    <w:rsid w:val="513444D8"/>
    <w:rsid w:val="514A7858"/>
    <w:rsid w:val="515F58CB"/>
    <w:rsid w:val="516145A6"/>
    <w:rsid w:val="51B359E4"/>
    <w:rsid w:val="51D02EE3"/>
    <w:rsid w:val="51DB6702"/>
    <w:rsid w:val="51F77AD7"/>
    <w:rsid w:val="520B0B7A"/>
    <w:rsid w:val="521045FE"/>
    <w:rsid w:val="524D48A6"/>
    <w:rsid w:val="52951C79"/>
    <w:rsid w:val="52A82A88"/>
    <w:rsid w:val="52C61160"/>
    <w:rsid w:val="52DA7681"/>
    <w:rsid w:val="52E553C3"/>
    <w:rsid w:val="536B7169"/>
    <w:rsid w:val="537945A3"/>
    <w:rsid w:val="539A6875"/>
    <w:rsid w:val="5402441A"/>
    <w:rsid w:val="541146BB"/>
    <w:rsid w:val="541B1CAA"/>
    <w:rsid w:val="541E10A8"/>
    <w:rsid w:val="542720D3"/>
    <w:rsid w:val="54880DC3"/>
    <w:rsid w:val="54E4444A"/>
    <w:rsid w:val="54EA6E10"/>
    <w:rsid w:val="55180399"/>
    <w:rsid w:val="551B5793"/>
    <w:rsid w:val="551D6F15"/>
    <w:rsid w:val="552D79CE"/>
    <w:rsid w:val="55392BD9"/>
    <w:rsid w:val="55515659"/>
    <w:rsid w:val="555346EE"/>
    <w:rsid w:val="55652EB2"/>
    <w:rsid w:val="556F1F83"/>
    <w:rsid w:val="558419F7"/>
    <w:rsid w:val="55BE4690"/>
    <w:rsid w:val="55CC644B"/>
    <w:rsid w:val="55CD7B80"/>
    <w:rsid w:val="55DE229A"/>
    <w:rsid w:val="55F06C20"/>
    <w:rsid w:val="55FF245F"/>
    <w:rsid w:val="560A07DA"/>
    <w:rsid w:val="560E65EB"/>
    <w:rsid w:val="56113504"/>
    <w:rsid w:val="563F4E80"/>
    <w:rsid w:val="56422B90"/>
    <w:rsid w:val="56515F27"/>
    <w:rsid w:val="56516FB4"/>
    <w:rsid w:val="565D002E"/>
    <w:rsid w:val="567C04B4"/>
    <w:rsid w:val="56AC7060"/>
    <w:rsid w:val="56BE61E2"/>
    <w:rsid w:val="56C02A99"/>
    <w:rsid w:val="56CC38D1"/>
    <w:rsid w:val="56D227CA"/>
    <w:rsid w:val="56EA7A0D"/>
    <w:rsid w:val="5780191F"/>
    <w:rsid w:val="579E445A"/>
    <w:rsid w:val="57B81242"/>
    <w:rsid w:val="57D704D9"/>
    <w:rsid w:val="57DD40B3"/>
    <w:rsid w:val="57DE3D7D"/>
    <w:rsid w:val="581975D3"/>
    <w:rsid w:val="58365C18"/>
    <w:rsid w:val="58873140"/>
    <w:rsid w:val="58906F36"/>
    <w:rsid w:val="58DE7204"/>
    <w:rsid w:val="58E433E4"/>
    <w:rsid w:val="590D6AC3"/>
    <w:rsid w:val="59213594"/>
    <w:rsid w:val="59266DFD"/>
    <w:rsid w:val="592A1893"/>
    <w:rsid w:val="592A362F"/>
    <w:rsid w:val="594C6FA3"/>
    <w:rsid w:val="59761A20"/>
    <w:rsid w:val="597C07CB"/>
    <w:rsid w:val="598C4EB2"/>
    <w:rsid w:val="599168FA"/>
    <w:rsid w:val="59A26483"/>
    <w:rsid w:val="59A541C5"/>
    <w:rsid w:val="59C7413C"/>
    <w:rsid w:val="5A236E98"/>
    <w:rsid w:val="5A577137"/>
    <w:rsid w:val="5A680816"/>
    <w:rsid w:val="5A782596"/>
    <w:rsid w:val="5A9B1124"/>
    <w:rsid w:val="5A9B545E"/>
    <w:rsid w:val="5A9F0C15"/>
    <w:rsid w:val="5AA20705"/>
    <w:rsid w:val="5AB53F94"/>
    <w:rsid w:val="5AC661A1"/>
    <w:rsid w:val="5AF440A0"/>
    <w:rsid w:val="5B06199C"/>
    <w:rsid w:val="5B335CA5"/>
    <w:rsid w:val="5B500161"/>
    <w:rsid w:val="5B5A382B"/>
    <w:rsid w:val="5B5C75F1"/>
    <w:rsid w:val="5B7219CF"/>
    <w:rsid w:val="5BA63E9C"/>
    <w:rsid w:val="5BB07952"/>
    <w:rsid w:val="5BB11EB4"/>
    <w:rsid w:val="5BD161EA"/>
    <w:rsid w:val="5BDE751B"/>
    <w:rsid w:val="5BDF1ADE"/>
    <w:rsid w:val="5C2564AD"/>
    <w:rsid w:val="5C2D3920"/>
    <w:rsid w:val="5C583771"/>
    <w:rsid w:val="5C5D2B35"/>
    <w:rsid w:val="5C98591B"/>
    <w:rsid w:val="5CA22374"/>
    <w:rsid w:val="5CB26DA1"/>
    <w:rsid w:val="5CB67B7B"/>
    <w:rsid w:val="5CCE3A33"/>
    <w:rsid w:val="5CD03B54"/>
    <w:rsid w:val="5CF74D38"/>
    <w:rsid w:val="5D704B14"/>
    <w:rsid w:val="5D921815"/>
    <w:rsid w:val="5DB17468"/>
    <w:rsid w:val="5DC32E6C"/>
    <w:rsid w:val="5E073566"/>
    <w:rsid w:val="5E2744DC"/>
    <w:rsid w:val="5E3730AA"/>
    <w:rsid w:val="5E4A4910"/>
    <w:rsid w:val="5E4F2952"/>
    <w:rsid w:val="5E5F7413"/>
    <w:rsid w:val="5EDB31AC"/>
    <w:rsid w:val="5EF420AB"/>
    <w:rsid w:val="5F2946C8"/>
    <w:rsid w:val="5F36141C"/>
    <w:rsid w:val="5F677827"/>
    <w:rsid w:val="5F9A5E4E"/>
    <w:rsid w:val="5FAD5706"/>
    <w:rsid w:val="5FB7306B"/>
    <w:rsid w:val="5FEA6458"/>
    <w:rsid w:val="603F267B"/>
    <w:rsid w:val="604404B3"/>
    <w:rsid w:val="6072623A"/>
    <w:rsid w:val="608A6609"/>
    <w:rsid w:val="60937ED4"/>
    <w:rsid w:val="6098238E"/>
    <w:rsid w:val="60BC2CC7"/>
    <w:rsid w:val="60C20FA9"/>
    <w:rsid w:val="60E750C3"/>
    <w:rsid w:val="61475AA0"/>
    <w:rsid w:val="615838CB"/>
    <w:rsid w:val="617D69FD"/>
    <w:rsid w:val="61942060"/>
    <w:rsid w:val="61A71E16"/>
    <w:rsid w:val="61BD393C"/>
    <w:rsid w:val="61DD3B34"/>
    <w:rsid w:val="61E909C7"/>
    <w:rsid w:val="61F72F11"/>
    <w:rsid w:val="62233ED9"/>
    <w:rsid w:val="622522E6"/>
    <w:rsid w:val="62405E97"/>
    <w:rsid w:val="625422E5"/>
    <w:rsid w:val="6280757E"/>
    <w:rsid w:val="62AD7C47"/>
    <w:rsid w:val="62B843BF"/>
    <w:rsid w:val="62DD22DA"/>
    <w:rsid w:val="6315416A"/>
    <w:rsid w:val="632E18FD"/>
    <w:rsid w:val="633C2983"/>
    <w:rsid w:val="6370051C"/>
    <w:rsid w:val="6393508F"/>
    <w:rsid w:val="63C90AB0"/>
    <w:rsid w:val="640D3093"/>
    <w:rsid w:val="64395C36"/>
    <w:rsid w:val="6457430E"/>
    <w:rsid w:val="64783276"/>
    <w:rsid w:val="647A2548"/>
    <w:rsid w:val="647C6CC8"/>
    <w:rsid w:val="648275DD"/>
    <w:rsid w:val="64870CE2"/>
    <w:rsid w:val="64B14195"/>
    <w:rsid w:val="64D911C7"/>
    <w:rsid w:val="64E65093"/>
    <w:rsid w:val="65426D6C"/>
    <w:rsid w:val="6550766D"/>
    <w:rsid w:val="659D1DBC"/>
    <w:rsid w:val="65A50295"/>
    <w:rsid w:val="65B25CA0"/>
    <w:rsid w:val="65DC0F6F"/>
    <w:rsid w:val="65DF42E1"/>
    <w:rsid w:val="660E74B9"/>
    <w:rsid w:val="66173D55"/>
    <w:rsid w:val="661C6382"/>
    <w:rsid w:val="661E0C82"/>
    <w:rsid w:val="663012BB"/>
    <w:rsid w:val="66364027"/>
    <w:rsid w:val="66486604"/>
    <w:rsid w:val="664B1C51"/>
    <w:rsid w:val="66B9509F"/>
    <w:rsid w:val="66C9542A"/>
    <w:rsid w:val="66ED1A86"/>
    <w:rsid w:val="67002A3B"/>
    <w:rsid w:val="670E0B4F"/>
    <w:rsid w:val="672C6CD2"/>
    <w:rsid w:val="675E4784"/>
    <w:rsid w:val="676905E0"/>
    <w:rsid w:val="67A55390"/>
    <w:rsid w:val="67B0620F"/>
    <w:rsid w:val="67BF1D36"/>
    <w:rsid w:val="67E7324E"/>
    <w:rsid w:val="68097404"/>
    <w:rsid w:val="683149C3"/>
    <w:rsid w:val="68582DDC"/>
    <w:rsid w:val="68831B76"/>
    <w:rsid w:val="688A022F"/>
    <w:rsid w:val="68BE6227"/>
    <w:rsid w:val="6920574A"/>
    <w:rsid w:val="69601EB7"/>
    <w:rsid w:val="6962178B"/>
    <w:rsid w:val="69B524FD"/>
    <w:rsid w:val="69B83AA1"/>
    <w:rsid w:val="69C50153"/>
    <w:rsid w:val="69D35F24"/>
    <w:rsid w:val="6A4B221F"/>
    <w:rsid w:val="6A571BA8"/>
    <w:rsid w:val="6A5B44EF"/>
    <w:rsid w:val="6A681023"/>
    <w:rsid w:val="6A800E76"/>
    <w:rsid w:val="6A8E5777"/>
    <w:rsid w:val="6AC604BD"/>
    <w:rsid w:val="6AC82FF8"/>
    <w:rsid w:val="6ACF1022"/>
    <w:rsid w:val="6B00125C"/>
    <w:rsid w:val="6B217424"/>
    <w:rsid w:val="6B3C600C"/>
    <w:rsid w:val="6B5605DC"/>
    <w:rsid w:val="6BB169FA"/>
    <w:rsid w:val="6BF863D7"/>
    <w:rsid w:val="6C006B92"/>
    <w:rsid w:val="6C1445F6"/>
    <w:rsid w:val="6C16028D"/>
    <w:rsid w:val="6C3F19FF"/>
    <w:rsid w:val="6C5F0204"/>
    <w:rsid w:val="6C6415A4"/>
    <w:rsid w:val="6C8639E2"/>
    <w:rsid w:val="6C891FB9"/>
    <w:rsid w:val="6CA31D6A"/>
    <w:rsid w:val="6CB95B66"/>
    <w:rsid w:val="6CBE2809"/>
    <w:rsid w:val="6CBF5146"/>
    <w:rsid w:val="6CD76BF3"/>
    <w:rsid w:val="6CE02CFC"/>
    <w:rsid w:val="6CE4534A"/>
    <w:rsid w:val="6D1014FE"/>
    <w:rsid w:val="6D1819D1"/>
    <w:rsid w:val="6D2232F1"/>
    <w:rsid w:val="6D325918"/>
    <w:rsid w:val="6D4F481B"/>
    <w:rsid w:val="6D621CE7"/>
    <w:rsid w:val="6D91263F"/>
    <w:rsid w:val="6DCA3DA3"/>
    <w:rsid w:val="6DF94A8D"/>
    <w:rsid w:val="6DF96ED4"/>
    <w:rsid w:val="6E0E0A62"/>
    <w:rsid w:val="6E2C52BD"/>
    <w:rsid w:val="6E5D0773"/>
    <w:rsid w:val="6E6E2980"/>
    <w:rsid w:val="6EA42846"/>
    <w:rsid w:val="6ECA37E5"/>
    <w:rsid w:val="6ECA6E08"/>
    <w:rsid w:val="6ED56A28"/>
    <w:rsid w:val="6EFF7A7C"/>
    <w:rsid w:val="6F0600D3"/>
    <w:rsid w:val="6F1057E5"/>
    <w:rsid w:val="6F515D85"/>
    <w:rsid w:val="6F6B4E86"/>
    <w:rsid w:val="6F6D4AE1"/>
    <w:rsid w:val="6F926B42"/>
    <w:rsid w:val="6FE64C3F"/>
    <w:rsid w:val="700A492A"/>
    <w:rsid w:val="701A7C2D"/>
    <w:rsid w:val="702459EC"/>
    <w:rsid w:val="70744EB0"/>
    <w:rsid w:val="70862012"/>
    <w:rsid w:val="709541F4"/>
    <w:rsid w:val="70FF1FB5"/>
    <w:rsid w:val="71084E57"/>
    <w:rsid w:val="710B13F8"/>
    <w:rsid w:val="71257C6E"/>
    <w:rsid w:val="712F423E"/>
    <w:rsid w:val="713F23B2"/>
    <w:rsid w:val="71526589"/>
    <w:rsid w:val="71533639"/>
    <w:rsid w:val="71930ACC"/>
    <w:rsid w:val="719E357C"/>
    <w:rsid w:val="71B72890"/>
    <w:rsid w:val="71BA7C8A"/>
    <w:rsid w:val="71CC1CC1"/>
    <w:rsid w:val="720F7FD6"/>
    <w:rsid w:val="723D599B"/>
    <w:rsid w:val="725B321B"/>
    <w:rsid w:val="72600832"/>
    <w:rsid w:val="728C7879"/>
    <w:rsid w:val="72AE7D36"/>
    <w:rsid w:val="72C30AE4"/>
    <w:rsid w:val="72D059B7"/>
    <w:rsid w:val="72DD00D4"/>
    <w:rsid w:val="72FD5A7E"/>
    <w:rsid w:val="733A5527"/>
    <w:rsid w:val="737547B1"/>
    <w:rsid w:val="738A2AA8"/>
    <w:rsid w:val="73ED07EB"/>
    <w:rsid w:val="73F92CEC"/>
    <w:rsid w:val="7400407A"/>
    <w:rsid w:val="7405701E"/>
    <w:rsid w:val="7412244D"/>
    <w:rsid w:val="743106D8"/>
    <w:rsid w:val="743C2A0A"/>
    <w:rsid w:val="745A0D15"/>
    <w:rsid w:val="747672ED"/>
    <w:rsid w:val="74927E3B"/>
    <w:rsid w:val="74A951B0"/>
    <w:rsid w:val="75050D66"/>
    <w:rsid w:val="751F5472"/>
    <w:rsid w:val="75260653"/>
    <w:rsid w:val="753B71DD"/>
    <w:rsid w:val="75531E96"/>
    <w:rsid w:val="75577420"/>
    <w:rsid w:val="7560440F"/>
    <w:rsid w:val="759822A2"/>
    <w:rsid w:val="75AF5B8D"/>
    <w:rsid w:val="75B35B52"/>
    <w:rsid w:val="75DA3098"/>
    <w:rsid w:val="76054F40"/>
    <w:rsid w:val="760B145E"/>
    <w:rsid w:val="761B62B2"/>
    <w:rsid w:val="764861AD"/>
    <w:rsid w:val="76857A13"/>
    <w:rsid w:val="76946CFC"/>
    <w:rsid w:val="76B178AE"/>
    <w:rsid w:val="76E949FE"/>
    <w:rsid w:val="77274014"/>
    <w:rsid w:val="77521091"/>
    <w:rsid w:val="776D76AF"/>
    <w:rsid w:val="77735918"/>
    <w:rsid w:val="778545FA"/>
    <w:rsid w:val="77B562D6"/>
    <w:rsid w:val="77BF755B"/>
    <w:rsid w:val="77FD2FC9"/>
    <w:rsid w:val="780D320A"/>
    <w:rsid w:val="78947487"/>
    <w:rsid w:val="78955947"/>
    <w:rsid w:val="78A839C4"/>
    <w:rsid w:val="78B627F1"/>
    <w:rsid w:val="78D37FAF"/>
    <w:rsid w:val="78D46D81"/>
    <w:rsid w:val="78E51A91"/>
    <w:rsid w:val="78E52A0E"/>
    <w:rsid w:val="79386064"/>
    <w:rsid w:val="793A6280"/>
    <w:rsid w:val="79523EBC"/>
    <w:rsid w:val="79524590"/>
    <w:rsid w:val="795F19BF"/>
    <w:rsid w:val="796F3D0F"/>
    <w:rsid w:val="79C515B9"/>
    <w:rsid w:val="79E24222"/>
    <w:rsid w:val="79FC5E7C"/>
    <w:rsid w:val="7A083C89"/>
    <w:rsid w:val="7A41719B"/>
    <w:rsid w:val="7A461715"/>
    <w:rsid w:val="7A5B0FCA"/>
    <w:rsid w:val="7A7F5248"/>
    <w:rsid w:val="7AAF2356"/>
    <w:rsid w:val="7ABB6F4D"/>
    <w:rsid w:val="7ABC4A73"/>
    <w:rsid w:val="7ADB163F"/>
    <w:rsid w:val="7AF67F85"/>
    <w:rsid w:val="7B002BB2"/>
    <w:rsid w:val="7B185785"/>
    <w:rsid w:val="7B566C76"/>
    <w:rsid w:val="7B5829EE"/>
    <w:rsid w:val="7B766ED9"/>
    <w:rsid w:val="7B892774"/>
    <w:rsid w:val="7B9D4BBB"/>
    <w:rsid w:val="7BA2617F"/>
    <w:rsid w:val="7BB66404"/>
    <w:rsid w:val="7BC40083"/>
    <w:rsid w:val="7BD81BBB"/>
    <w:rsid w:val="7BE46DE4"/>
    <w:rsid w:val="7BF30969"/>
    <w:rsid w:val="7BF87D2D"/>
    <w:rsid w:val="7BFD3F26"/>
    <w:rsid w:val="7C035E38"/>
    <w:rsid w:val="7C32352C"/>
    <w:rsid w:val="7C4A4A2C"/>
    <w:rsid w:val="7C5A2796"/>
    <w:rsid w:val="7C7554E9"/>
    <w:rsid w:val="7C8D53B7"/>
    <w:rsid w:val="7CAD41E9"/>
    <w:rsid w:val="7CC05BF6"/>
    <w:rsid w:val="7CE72C39"/>
    <w:rsid w:val="7D142945"/>
    <w:rsid w:val="7D1D3EEF"/>
    <w:rsid w:val="7D1F7C67"/>
    <w:rsid w:val="7D254B52"/>
    <w:rsid w:val="7D75126C"/>
    <w:rsid w:val="7DAC5AE7"/>
    <w:rsid w:val="7DCF1F54"/>
    <w:rsid w:val="7DDF703F"/>
    <w:rsid w:val="7DF42489"/>
    <w:rsid w:val="7E026C41"/>
    <w:rsid w:val="7E1D1CCD"/>
    <w:rsid w:val="7E7A0ECD"/>
    <w:rsid w:val="7E7F12C0"/>
    <w:rsid w:val="7EC25EE0"/>
    <w:rsid w:val="7EC64112"/>
    <w:rsid w:val="7EC955CD"/>
    <w:rsid w:val="7ECB3617"/>
    <w:rsid w:val="7EED2772"/>
    <w:rsid w:val="7F052E8D"/>
    <w:rsid w:val="7F1D19A4"/>
    <w:rsid w:val="7F313C82"/>
    <w:rsid w:val="7F4E7BAB"/>
    <w:rsid w:val="7F967F89"/>
    <w:rsid w:val="7FC44AF6"/>
    <w:rsid w:val="7FE1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240" w:after="240"/>
      <w:jc w:val="left"/>
      <w:outlineLvl w:val="0"/>
    </w:pPr>
    <w:rPr>
      <w:b/>
      <w:kern w:val="28"/>
      <w:sz w:val="28"/>
    </w:rPr>
  </w:style>
  <w:style w:type="paragraph" w:styleId="5">
    <w:name w:val="heading 3"/>
    <w:basedOn w:val="1"/>
    <w:next w:val="1"/>
    <w:qFormat/>
    <w:uiPriority w:val="0"/>
    <w:pPr>
      <w:spacing w:before="200" w:line="271" w:lineRule="auto"/>
      <w:outlineLvl w:val="2"/>
    </w:pPr>
    <w:rPr>
      <w:rFonts w:ascii="Cambria" w:hAnsi="Cambria"/>
      <w:b/>
      <w:bCs/>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99"/>
    <w:rPr>
      <w:sz w:val="28"/>
    </w:rPr>
  </w:style>
  <w:style w:type="paragraph" w:customStyle="1" w:styleId="3">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6">
    <w:name w:val="Normal Indent"/>
    <w:basedOn w:val="1"/>
    <w:link w:val="24"/>
    <w:unhideWhenUsed/>
    <w:qFormat/>
    <w:uiPriority w:val="0"/>
    <w:pPr>
      <w:adjustRightInd w:val="0"/>
      <w:spacing w:line="360" w:lineRule="atLeast"/>
      <w:ind w:firstLine="482"/>
    </w:pPr>
    <w:rPr>
      <w:rFonts w:asciiTheme="minorHAnsi" w:hAnsiTheme="minorHAnsi" w:eastAsiaTheme="minorEastAsia" w:cstheme="minorBidi"/>
      <w:sz w:val="24"/>
      <w:szCs w:val="24"/>
    </w:rPr>
  </w:style>
  <w:style w:type="paragraph" w:styleId="7">
    <w:name w:val="annotation text"/>
    <w:basedOn w:val="1"/>
    <w:semiHidden/>
    <w:unhideWhenUsed/>
    <w:qFormat/>
    <w:uiPriority w:val="99"/>
    <w:pPr>
      <w:jc w:val="left"/>
    </w:pPr>
  </w:style>
  <w:style w:type="paragraph" w:styleId="8">
    <w:name w:val="Body Text Indent"/>
    <w:basedOn w:val="1"/>
    <w:next w:val="9"/>
    <w:qFormat/>
    <w:uiPriority w:val="0"/>
    <w:pPr>
      <w:ind w:firstLine="645"/>
    </w:pPr>
    <w:rPr>
      <w:rFonts w:ascii="楷体_GB2312" w:eastAsia="楷体_GB2312"/>
      <w:sz w:val="32"/>
      <w:szCs w:val="20"/>
    </w:rPr>
  </w:style>
  <w:style w:type="paragraph" w:styleId="9">
    <w:name w:val="envelope return"/>
    <w:basedOn w:val="1"/>
    <w:unhideWhenUsed/>
    <w:qFormat/>
    <w:uiPriority w:val="99"/>
    <w:pPr>
      <w:snapToGrid w:val="0"/>
    </w:pPr>
    <w:rPr>
      <w:rFonts w:ascii="Arial" w:hAnsi="Arial"/>
    </w:rPr>
  </w:style>
  <w:style w:type="paragraph" w:styleId="10">
    <w:name w:val="Plain Text"/>
    <w:basedOn w:val="1"/>
    <w:unhideWhenUsed/>
    <w:qFormat/>
    <w:uiPriority w:val="99"/>
    <w:rPr>
      <w:rFonts w:ascii="宋体" w:hAnsi="Courier New"/>
    </w:rPr>
  </w:style>
  <w:style w:type="paragraph" w:styleId="11">
    <w:name w:val="Balloon Text"/>
    <w:basedOn w:val="1"/>
    <w:link w:val="34"/>
    <w:semiHidden/>
    <w:unhideWhenUsed/>
    <w:qFormat/>
    <w:uiPriority w:val="99"/>
    <w:rPr>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qFormat/>
    <w:uiPriority w:val="0"/>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unhideWhenUsed/>
    <w:qFormat/>
    <w:uiPriority w:val="99"/>
  </w:style>
  <w:style w:type="paragraph" w:customStyle="1" w:styleId="2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4">
    <w:name w:val="正文缩进 字符"/>
    <w:link w:val="6"/>
    <w:qFormat/>
    <w:uiPriority w:val="0"/>
    <w:rPr>
      <w:sz w:val="24"/>
      <w:szCs w:val="24"/>
    </w:rPr>
  </w:style>
  <w:style w:type="character" w:customStyle="1" w:styleId="25">
    <w:name w:val="正文文本 Char"/>
    <w:basedOn w:val="20"/>
    <w:qFormat/>
    <w:uiPriority w:val="99"/>
    <w:rPr>
      <w:rFonts w:ascii="Times New Roman" w:hAnsi="Times New Roman" w:eastAsia="宋体" w:cs="Times New Roman"/>
      <w:sz w:val="28"/>
      <w:szCs w:val="20"/>
    </w:rPr>
  </w:style>
  <w:style w:type="character" w:customStyle="1" w:styleId="26">
    <w:name w:val="页脚 Char"/>
    <w:basedOn w:val="20"/>
    <w:qFormat/>
    <w:uiPriority w:val="0"/>
    <w:rPr>
      <w:rFonts w:ascii="Times New Roman" w:hAnsi="Times New Roman" w:eastAsia="宋体" w:cs="Times New Roman"/>
      <w:sz w:val="18"/>
      <w:szCs w:val="18"/>
    </w:rPr>
  </w:style>
  <w:style w:type="character" w:customStyle="1" w:styleId="27">
    <w:name w:val="页眉 Char"/>
    <w:basedOn w:val="20"/>
    <w:qFormat/>
    <w:uiPriority w:val="0"/>
    <w:rPr>
      <w:rFonts w:ascii="Times New Roman" w:hAnsi="Times New Roman" w:eastAsia="宋体" w:cs="Times New Roman"/>
      <w:sz w:val="18"/>
      <w:szCs w:val="18"/>
    </w:rPr>
  </w:style>
  <w:style w:type="character" w:customStyle="1" w:styleId="28">
    <w:name w:val="正文文本 字符"/>
    <w:basedOn w:val="20"/>
    <w:link w:val="2"/>
    <w:semiHidden/>
    <w:qFormat/>
    <w:uiPriority w:val="99"/>
    <w:rPr>
      <w:rFonts w:ascii="Times New Roman" w:hAnsi="Times New Roman" w:eastAsia="宋体" w:cs="Times New Roman"/>
      <w:szCs w:val="20"/>
    </w:rPr>
  </w:style>
  <w:style w:type="character" w:customStyle="1" w:styleId="29">
    <w:name w:val="页脚 字符"/>
    <w:basedOn w:val="20"/>
    <w:link w:val="12"/>
    <w:semiHidden/>
    <w:qFormat/>
    <w:uiPriority w:val="99"/>
    <w:rPr>
      <w:rFonts w:ascii="Times New Roman" w:hAnsi="Times New Roman" w:eastAsia="宋体" w:cs="Times New Roman"/>
      <w:sz w:val="18"/>
      <w:szCs w:val="18"/>
    </w:rPr>
  </w:style>
  <w:style w:type="character" w:customStyle="1" w:styleId="30">
    <w:name w:val="页眉 字符"/>
    <w:basedOn w:val="20"/>
    <w:link w:val="13"/>
    <w:semiHidden/>
    <w:qFormat/>
    <w:uiPriority w:val="99"/>
    <w:rPr>
      <w:rFonts w:ascii="Times New Roman" w:hAnsi="Times New Roman" w:eastAsia="宋体" w:cs="Times New Roman"/>
      <w:sz w:val="18"/>
      <w:szCs w:val="18"/>
    </w:rPr>
  </w:style>
  <w:style w:type="paragraph" w:customStyle="1" w:styleId="31">
    <w:name w:val="paragraph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flType"/>
    <w:basedOn w:val="1"/>
    <w:qFormat/>
    <w:uiPriority w:val="0"/>
    <w:pPr>
      <w:adjustRightInd w:val="0"/>
      <w:spacing w:after="284" w:line="113" w:lineRule="atLeast"/>
      <w:jc w:val="center"/>
    </w:pPr>
    <w:rPr>
      <w:kern w:val="0"/>
      <w:sz w:val="24"/>
    </w:rPr>
  </w:style>
  <w:style w:type="character" w:customStyle="1" w:styleId="34">
    <w:name w:val="批注框文本 字符"/>
    <w:basedOn w:val="20"/>
    <w:link w:val="11"/>
    <w:semiHidden/>
    <w:qFormat/>
    <w:uiPriority w:val="99"/>
    <w:rPr>
      <w:rFonts w:ascii="Times New Roman" w:hAnsi="Times New Roman" w:eastAsia="宋体" w:cs="Times New Roman"/>
      <w:sz w:val="18"/>
      <w:szCs w:val="18"/>
    </w:rPr>
  </w:style>
  <w:style w:type="character" w:customStyle="1" w:styleId="35">
    <w:name w:val="style81"/>
    <w:basedOn w:val="20"/>
    <w:qFormat/>
    <w:uiPriority w:val="0"/>
    <w:rPr>
      <w:color w:val="000000"/>
      <w:sz w:val="18"/>
      <w:szCs w:val="18"/>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表格文字"/>
    <w:basedOn w:val="1"/>
    <w:next w:val="2"/>
    <w:qFormat/>
    <w:uiPriority w:val="0"/>
    <w:pPr>
      <w:spacing w:line="300" w:lineRule="exact"/>
      <w:jc w:val="center"/>
    </w:pPr>
    <w:rPr>
      <w:szCs w:val="21"/>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11639</Words>
  <Characters>12004</Characters>
  <Lines>113</Lines>
  <Paragraphs>31</Paragraphs>
  <TotalTime>1</TotalTime>
  <ScaleCrop>false</ScaleCrop>
  <LinksUpToDate>false</LinksUpToDate>
  <CharactersWithSpaces>13307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2019-09-16T08:33:00Z</dcterms:created>
  <dc:creator>Microsoft</dc:creator>
  <cp:lastModifiedBy>蜕变&amp;蝶</cp:lastModifiedBy>
  <dcterms:modified xsi:type="dcterms:W3CDTF">2025-01-14T23:58:43Z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3F4CDA3E31014D6A8947F53D4A2B4AB0</vt:lpwstr>
  </property>
  <property fmtid="{D5CDD505-2E9C-101B-9397-08002B2CF9AE}" pid="4" name="KSOTemplateDocerSaveRecord">
    <vt:lpwstr>eyJoZGlkIjoiNjU0ZmI5NjBkNTBlNmEwOTdlNmE5YmIwNGU1MDNiMDciLCJ1c2VySWQiOiI3MjEzMTE1MzYifQ==</vt:lpwstr>
  </property>
</Properties>
</file>